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A938" w14:textId="47F06974" w:rsidR="008835B8" w:rsidRDefault="00943D9F"/>
    <w:p w14:paraId="7D7BBB45" w14:textId="77777777" w:rsidR="00A83351" w:rsidRDefault="00A83351"/>
    <w:p w14:paraId="0ECC345D" w14:textId="77777777" w:rsidR="00A83351" w:rsidRDefault="00A83351"/>
    <w:p w14:paraId="4B0195A6" w14:textId="77777777" w:rsidR="00A83351" w:rsidRDefault="00A83351"/>
    <w:p w14:paraId="16D6CE2F" w14:textId="77777777" w:rsidR="00A83351" w:rsidRDefault="00A83351"/>
    <w:p w14:paraId="18565ED8" w14:textId="77777777" w:rsidR="00A83351" w:rsidRPr="00473D12" w:rsidRDefault="00A83351" w:rsidP="00A83351">
      <w:pPr>
        <w:ind w:right="-1"/>
        <w:jc w:val="center"/>
        <w:rPr>
          <w:rFonts w:ascii="Century Gothic" w:hAnsi="Century Gothic"/>
          <w:b/>
          <w:sz w:val="20"/>
        </w:rPr>
      </w:pPr>
    </w:p>
    <w:p w14:paraId="4481383F" w14:textId="77777777" w:rsidR="00A83351" w:rsidRPr="00473D12" w:rsidRDefault="00A83351" w:rsidP="00A83351">
      <w:pPr>
        <w:ind w:right="-1"/>
        <w:jc w:val="center"/>
        <w:rPr>
          <w:rFonts w:ascii="Century Gothic" w:hAnsi="Century Gothic"/>
          <w:b/>
          <w:sz w:val="20"/>
        </w:rPr>
      </w:pPr>
    </w:p>
    <w:p w14:paraId="2C579012" w14:textId="77777777" w:rsidR="00A83351" w:rsidRPr="00473D12" w:rsidRDefault="00A83351" w:rsidP="00A83351">
      <w:pPr>
        <w:ind w:right="-1"/>
        <w:jc w:val="both"/>
        <w:rPr>
          <w:rFonts w:ascii="Century Gothic" w:hAnsi="Century Gothic"/>
          <w:b/>
          <w:sz w:val="20"/>
        </w:rPr>
      </w:pPr>
    </w:p>
    <w:p w14:paraId="363ECB72" w14:textId="77777777" w:rsidR="00A83351" w:rsidRPr="00473D12" w:rsidRDefault="00A83351" w:rsidP="00A83351">
      <w:pPr>
        <w:ind w:right="-1"/>
        <w:jc w:val="both"/>
        <w:rPr>
          <w:rFonts w:ascii="Century Gothic" w:hAnsi="Century Gothic"/>
          <w:sz w:val="20"/>
          <w:highlight w:val="yellow"/>
        </w:rPr>
      </w:pPr>
    </w:p>
    <w:p w14:paraId="220FA424" w14:textId="77777777" w:rsidR="00A83351" w:rsidRPr="00473D12" w:rsidRDefault="00A83351" w:rsidP="00A83351">
      <w:pPr>
        <w:pBdr>
          <w:bottom w:val="single" w:sz="8" w:space="4" w:color="006600"/>
        </w:pBdr>
        <w:spacing w:after="300"/>
        <w:ind w:right="-1"/>
        <w:contextualSpacing/>
        <w:jc w:val="both"/>
        <w:rPr>
          <w:rFonts w:ascii="Century Gothic" w:hAnsi="Century Gothic"/>
          <w:spacing w:val="5"/>
          <w:kern w:val="28"/>
          <w:sz w:val="20"/>
          <w:lang w:eastAsia="en-US"/>
        </w:rPr>
      </w:pPr>
    </w:p>
    <w:p w14:paraId="4D18B6BE" w14:textId="77777777" w:rsidR="00A83351" w:rsidRPr="00473D12" w:rsidRDefault="00A83351" w:rsidP="00A83351">
      <w:pPr>
        <w:pBdr>
          <w:bottom w:val="single" w:sz="8" w:space="4" w:color="006600"/>
        </w:pBdr>
        <w:spacing w:after="300"/>
        <w:ind w:right="-1"/>
        <w:contextualSpacing/>
        <w:jc w:val="both"/>
        <w:rPr>
          <w:rFonts w:ascii="Century Gothic" w:hAnsi="Century Gothic"/>
          <w:spacing w:val="5"/>
          <w:kern w:val="28"/>
          <w:sz w:val="20"/>
          <w:lang w:eastAsia="en-US"/>
        </w:rPr>
      </w:pPr>
    </w:p>
    <w:p w14:paraId="482783AB" w14:textId="77777777" w:rsidR="00A83351" w:rsidRPr="00473D12" w:rsidRDefault="00A83351" w:rsidP="00A83351">
      <w:pPr>
        <w:pBdr>
          <w:bottom w:val="single" w:sz="8" w:space="4" w:color="006600"/>
        </w:pBdr>
        <w:spacing w:after="300"/>
        <w:ind w:right="-1"/>
        <w:contextualSpacing/>
        <w:jc w:val="both"/>
        <w:rPr>
          <w:rFonts w:ascii="Century Gothic" w:eastAsia="Calibri" w:hAnsi="Century Gothic"/>
          <w:b/>
          <w:sz w:val="20"/>
          <w:lang w:eastAsia="en-US"/>
        </w:rPr>
      </w:pPr>
    </w:p>
    <w:p w14:paraId="2EF31F7F" w14:textId="77777777" w:rsidR="00A83351" w:rsidRPr="00473D12" w:rsidRDefault="00A83351" w:rsidP="00A83351">
      <w:pPr>
        <w:pBdr>
          <w:bottom w:val="single" w:sz="8" w:space="4" w:color="006600"/>
        </w:pBdr>
        <w:spacing w:after="300"/>
        <w:ind w:right="-1"/>
        <w:contextualSpacing/>
        <w:jc w:val="center"/>
        <w:rPr>
          <w:rFonts w:ascii="Century Gothic" w:eastAsia="Calibri" w:hAnsi="Century Gothic"/>
          <w:b/>
          <w:sz w:val="20"/>
          <w:lang w:eastAsia="en-US"/>
        </w:rPr>
      </w:pPr>
    </w:p>
    <w:p w14:paraId="400C25F3" w14:textId="77777777" w:rsidR="00A83351" w:rsidRPr="00473D12" w:rsidRDefault="00A83351" w:rsidP="00A83351">
      <w:pPr>
        <w:ind w:right="-1"/>
        <w:jc w:val="center"/>
        <w:rPr>
          <w:rFonts w:ascii="Century Gothic" w:hAnsi="Century Gothic"/>
          <w:b/>
          <w:sz w:val="20"/>
        </w:rPr>
      </w:pPr>
    </w:p>
    <w:p w14:paraId="2D18BAD0" w14:textId="77777777" w:rsidR="00A83351" w:rsidRPr="00473D12" w:rsidRDefault="00A83351" w:rsidP="00A83351">
      <w:pPr>
        <w:pStyle w:val="Grillemoyenne21"/>
        <w:ind w:right="-1"/>
        <w:jc w:val="center"/>
        <w:rPr>
          <w:rFonts w:ascii="Century Gothic" w:hAnsi="Century Gothic"/>
          <w:b/>
          <w:caps/>
          <w:spacing w:val="5"/>
          <w:kern w:val="28"/>
          <w:sz w:val="32"/>
          <w:szCs w:val="32"/>
        </w:rPr>
      </w:pPr>
      <w:r w:rsidRPr="00473D12">
        <w:rPr>
          <w:rFonts w:ascii="Century Gothic" w:hAnsi="Century Gothic"/>
          <w:b/>
          <w:caps/>
          <w:spacing w:val="5"/>
          <w:kern w:val="28"/>
          <w:sz w:val="32"/>
          <w:szCs w:val="32"/>
        </w:rPr>
        <w:t xml:space="preserve">APPEL A MANIFESTATION D’INTERET </w:t>
      </w:r>
    </w:p>
    <w:p w14:paraId="28C387BE" w14:textId="77777777" w:rsidR="00A83351" w:rsidRPr="00473D12" w:rsidRDefault="00A83351" w:rsidP="00A83351">
      <w:pPr>
        <w:pStyle w:val="Grillemoyenne21"/>
        <w:ind w:right="-1"/>
        <w:jc w:val="center"/>
        <w:rPr>
          <w:rFonts w:ascii="Century Gothic" w:hAnsi="Century Gothic"/>
          <w:b/>
          <w:caps/>
          <w:spacing w:val="5"/>
          <w:kern w:val="28"/>
          <w:sz w:val="32"/>
          <w:szCs w:val="32"/>
        </w:rPr>
      </w:pPr>
    </w:p>
    <w:p w14:paraId="703B571E" w14:textId="7D0FA63F" w:rsidR="00A83351" w:rsidRPr="00473D12" w:rsidRDefault="00A83351" w:rsidP="00A83351">
      <w:pPr>
        <w:pStyle w:val="Grillemoyenne21"/>
        <w:ind w:right="-1"/>
        <w:jc w:val="center"/>
        <w:rPr>
          <w:rFonts w:ascii="Century Gothic" w:hAnsi="Century Gothic"/>
          <w:b/>
          <w:caps/>
          <w:spacing w:val="5"/>
          <w:kern w:val="28"/>
          <w:sz w:val="32"/>
          <w:szCs w:val="32"/>
        </w:rPr>
      </w:pPr>
      <w:r w:rsidRPr="00ED433C">
        <w:rPr>
          <w:rFonts w:ascii="Century Gothic" w:hAnsi="Century Gothic"/>
          <w:b/>
          <w:caps/>
          <w:spacing w:val="5"/>
          <w:kern w:val="28"/>
          <w:sz w:val="32"/>
          <w:szCs w:val="32"/>
        </w:rPr>
        <w:t xml:space="preserve">DYNAMISATION DES VENTES SUR LA DESTINATION REUNION </w:t>
      </w:r>
      <w:r w:rsidR="00213CA9">
        <w:rPr>
          <w:rFonts w:ascii="Century Gothic" w:hAnsi="Century Gothic"/>
          <w:b/>
          <w:caps/>
          <w:spacing w:val="5"/>
          <w:kern w:val="28"/>
          <w:sz w:val="32"/>
          <w:szCs w:val="32"/>
        </w:rPr>
        <w:t>ANNEE 2019</w:t>
      </w:r>
    </w:p>
    <w:p w14:paraId="2F8A0499" w14:textId="77777777" w:rsidR="00A83351" w:rsidRPr="00473D12" w:rsidRDefault="00A83351" w:rsidP="00A83351">
      <w:pPr>
        <w:pBdr>
          <w:bottom w:val="single" w:sz="8" w:space="4" w:color="006600"/>
        </w:pBdr>
        <w:spacing w:after="300"/>
        <w:ind w:right="-1"/>
        <w:contextualSpacing/>
        <w:jc w:val="both"/>
        <w:rPr>
          <w:rFonts w:ascii="Century Gothic" w:hAnsi="Century Gothic"/>
          <w:caps/>
          <w:spacing w:val="5"/>
          <w:kern w:val="28"/>
          <w:sz w:val="20"/>
          <w:lang w:eastAsia="en-US"/>
        </w:rPr>
      </w:pPr>
    </w:p>
    <w:p w14:paraId="5CDF2E3B" w14:textId="77777777" w:rsidR="00A83351" w:rsidRPr="00473D12" w:rsidRDefault="00A83351" w:rsidP="00A83351">
      <w:pPr>
        <w:pStyle w:val="Sansinterligne1"/>
        <w:ind w:right="-1"/>
        <w:jc w:val="both"/>
        <w:rPr>
          <w:rFonts w:ascii="Century Gothic" w:hAnsi="Century Gothic"/>
          <w:b/>
          <w:spacing w:val="5"/>
          <w:kern w:val="28"/>
          <w:sz w:val="20"/>
          <w:szCs w:val="20"/>
        </w:rPr>
      </w:pPr>
    </w:p>
    <w:p w14:paraId="78FD86AA" w14:textId="77777777" w:rsidR="00A83351" w:rsidRPr="00473D12" w:rsidRDefault="00A83351" w:rsidP="00A83351">
      <w:pPr>
        <w:pStyle w:val="Titre"/>
        <w:ind w:right="-1"/>
        <w:jc w:val="both"/>
        <w:rPr>
          <w:sz w:val="20"/>
        </w:rPr>
      </w:pPr>
    </w:p>
    <w:p w14:paraId="312423EA" w14:textId="77777777" w:rsidR="00A83351" w:rsidRPr="008D19AA" w:rsidRDefault="00A83351" w:rsidP="00A83351">
      <w:pPr>
        <w:spacing w:before="120"/>
        <w:jc w:val="both"/>
        <w:rPr>
          <w:rFonts w:ascii="Century Gothic" w:hAnsi="Century Gothic"/>
          <w:b/>
          <w:sz w:val="20"/>
        </w:rPr>
      </w:pPr>
      <w:r w:rsidRPr="00473D12">
        <w:rPr>
          <w:rFonts w:ascii="Century Gothic" w:hAnsi="Century Gothic"/>
          <w:b/>
          <w:sz w:val="20"/>
        </w:rPr>
        <w:t xml:space="preserve">Organisme : </w:t>
      </w:r>
      <w:r>
        <w:rPr>
          <w:rFonts w:ascii="Century Gothic" w:hAnsi="Century Gothic"/>
          <w:b/>
          <w:sz w:val="20"/>
        </w:rPr>
        <w:tab/>
      </w:r>
      <w:r w:rsidRPr="00473D12">
        <w:rPr>
          <w:rFonts w:ascii="Century Gothic" w:hAnsi="Century Gothic"/>
          <w:sz w:val="20"/>
        </w:rPr>
        <w:t xml:space="preserve">Comité </w:t>
      </w:r>
      <w:r w:rsidRPr="008D19AA">
        <w:rPr>
          <w:rFonts w:ascii="Century Gothic" w:hAnsi="Century Gothic"/>
          <w:sz w:val="20"/>
        </w:rPr>
        <w:t>Régional de Tourisme</w:t>
      </w:r>
      <w:r w:rsidRPr="008D19AA">
        <w:rPr>
          <w:rFonts w:ascii="Century Gothic" w:hAnsi="Century Gothic"/>
          <w:b/>
          <w:sz w:val="20"/>
        </w:rPr>
        <w:t xml:space="preserve"> </w:t>
      </w:r>
    </w:p>
    <w:p w14:paraId="5282A119" w14:textId="77777777" w:rsidR="00A83351" w:rsidRDefault="00A83351" w:rsidP="00A83351">
      <w:pPr>
        <w:ind w:left="709" w:firstLine="709"/>
        <w:jc w:val="both"/>
        <w:rPr>
          <w:rFonts w:ascii="Century Gothic" w:hAnsi="Century Gothic"/>
          <w:b/>
          <w:sz w:val="20"/>
        </w:rPr>
      </w:pPr>
      <w:r w:rsidRPr="00473D12">
        <w:rPr>
          <w:rFonts w:ascii="Century Gothic" w:hAnsi="Century Gothic"/>
          <w:b/>
          <w:sz w:val="20"/>
        </w:rPr>
        <w:t>ILE DE LA REUNION TOURISME</w:t>
      </w:r>
    </w:p>
    <w:p w14:paraId="40C9C2A7" w14:textId="77777777" w:rsidR="006A1EDA" w:rsidRDefault="00A83351" w:rsidP="00A83351">
      <w:pPr>
        <w:ind w:left="709" w:firstLine="709"/>
        <w:jc w:val="both"/>
        <w:rPr>
          <w:rFonts w:ascii="Century Gothic" w:hAnsi="Century Gothic"/>
          <w:sz w:val="20"/>
        </w:rPr>
      </w:pPr>
      <w:r w:rsidRPr="008D19AA">
        <w:rPr>
          <w:rFonts w:ascii="Century Gothic" w:hAnsi="Century Gothic"/>
          <w:sz w:val="20"/>
        </w:rPr>
        <w:t>4 rue Jules Thirel</w:t>
      </w:r>
    </w:p>
    <w:p w14:paraId="6BE3203D" w14:textId="38186E66" w:rsidR="009F408D" w:rsidRDefault="006A1EDA" w:rsidP="009F408D">
      <w:pPr>
        <w:ind w:left="709" w:firstLine="709"/>
        <w:jc w:val="both"/>
        <w:rPr>
          <w:rFonts w:ascii="Century Gothic" w:hAnsi="Century Gothic"/>
          <w:sz w:val="20"/>
        </w:rPr>
      </w:pPr>
      <w:r w:rsidRPr="008D19AA">
        <w:rPr>
          <w:rFonts w:ascii="Century Gothic" w:hAnsi="Century Gothic"/>
          <w:sz w:val="20"/>
        </w:rPr>
        <w:t xml:space="preserve">Immeuble La Balance </w:t>
      </w:r>
      <w:r w:rsidR="009F408D">
        <w:rPr>
          <w:rFonts w:ascii="Century Gothic" w:hAnsi="Century Gothic"/>
          <w:sz w:val="20"/>
        </w:rPr>
        <w:t xml:space="preserve">- </w:t>
      </w:r>
      <w:r w:rsidR="00A83351" w:rsidRPr="008D19AA">
        <w:rPr>
          <w:rFonts w:ascii="Century Gothic" w:hAnsi="Century Gothic"/>
          <w:sz w:val="20"/>
        </w:rPr>
        <w:t xml:space="preserve">Bâtiment B </w:t>
      </w:r>
    </w:p>
    <w:p w14:paraId="1E456A34" w14:textId="77777777" w:rsidR="00B300CE" w:rsidRDefault="00A6640B" w:rsidP="00B300CE">
      <w:pPr>
        <w:ind w:left="709" w:firstLine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CS 61087</w:t>
      </w:r>
      <w:r w:rsidR="00B300CE">
        <w:rPr>
          <w:rFonts w:ascii="Century Gothic" w:hAnsi="Century Gothic"/>
          <w:sz w:val="20"/>
        </w:rPr>
        <w:t xml:space="preserve"> </w:t>
      </w:r>
    </w:p>
    <w:p w14:paraId="3F09B259" w14:textId="50F691D5" w:rsidR="00A83351" w:rsidRDefault="00A83351" w:rsidP="00B300CE">
      <w:pPr>
        <w:ind w:left="709" w:firstLine="709"/>
        <w:jc w:val="both"/>
        <w:rPr>
          <w:rFonts w:ascii="Century Gothic" w:hAnsi="Century Gothic"/>
          <w:sz w:val="20"/>
        </w:rPr>
      </w:pPr>
      <w:r w:rsidRPr="008D19AA">
        <w:rPr>
          <w:rFonts w:ascii="Century Gothic" w:hAnsi="Century Gothic"/>
          <w:sz w:val="20"/>
        </w:rPr>
        <w:t>97</w:t>
      </w:r>
      <w:r w:rsidR="00B300CE">
        <w:rPr>
          <w:rFonts w:ascii="Century Gothic" w:hAnsi="Century Gothic"/>
          <w:sz w:val="20"/>
        </w:rPr>
        <w:t>864</w:t>
      </w:r>
      <w:r w:rsidRPr="008D19AA">
        <w:rPr>
          <w:rFonts w:ascii="Century Gothic" w:hAnsi="Century Gothic"/>
          <w:sz w:val="20"/>
        </w:rPr>
        <w:t xml:space="preserve"> Saint-Paul </w:t>
      </w:r>
      <w:r w:rsidR="00B300CE">
        <w:rPr>
          <w:rFonts w:ascii="Century Gothic" w:hAnsi="Century Gothic"/>
          <w:sz w:val="20"/>
        </w:rPr>
        <w:t>Cedex</w:t>
      </w:r>
      <w:r w:rsidRPr="008D19AA">
        <w:rPr>
          <w:rFonts w:ascii="Century Gothic" w:hAnsi="Century Gothic"/>
          <w:sz w:val="20"/>
        </w:rPr>
        <w:t>     </w:t>
      </w:r>
    </w:p>
    <w:p w14:paraId="720BCAE2" w14:textId="77777777" w:rsidR="00A83351" w:rsidRDefault="00A83351" w:rsidP="00A83351">
      <w:pPr>
        <w:ind w:left="709" w:firstLine="709"/>
        <w:jc w:val="both"/>
        <w:rPr>
          <w:rFonts w:ascii="Century Gothic" w:hAnsi="Century Gothic"/>
          <w:sz w:val="20"/>
        </w:rPr>
      </w:pPr>
    </w:p>
    <w:p w14:paraId="4973360A" w14:textId="77777777" w:rsidR="00A83351" w:rsidRDefault="00A83351" w:rsidP="00A83351">
      <w:pPr>
        <w:ind w:left="709" w:firstLine="709"/>
        <w:jc w:val="both"/>
        <w:rPr>
          <w:rFonts w:ascii="Century Gothic" w:hAnsi="Century Gothic"/>
          <w:sz w:val="20"/>
        </w:rPr>
      </w:pPr>
    </w:p>
    <w:p w14:paraId="63ECF3E0" w14:textId="3B08E19D" w:rsidR="00A83351" w:rsidRPr="00307344" w:rsidRDefault="00A83351" w:rsidP="00A83351">
      <w:pPr>
        <w:pStyle w:val="Paragraphedeliste"/>
        <w:numPr>
          <w:ilvl w:val="0"/>
          <w:numId w:val="8"/>
        </w:numPr>
        <w:spacing w:before="120"/>
        <w:jc w:val="both"/>
        <w:rPr>
          <w:b/>
        </w:rPr>
      </w:pPr>
      <w:r w:rsidRPr="00C445FA">
        <w:rPr>
          <w:rFonts w:ascii="Century Gothic" w:hAnsi="Century Gothic"/>
          <w:b/>
          <w:sz w:val="20"/>
        </w:rPr>
        <w:t>Directeur marketing et communication</w:t>
      </w:r>
      <w:r w:rsidRPr="00307344">
        <w:t> :</w:t>
      </w:r>
      <w:r w:rsidRPr="00307344">
        <w:rPr>
          <w:b/>
        </w:rPr>
        <w:t xml:space="preserve"> </w:t>
      </w:r>
      <w:r w:rsidR="0061097B" w:rsidRPr="00C445FA">
        <w:rPr>
          <w:rFonts w:ascii="Century Gothic" w:hAnsi="Century Gothic"/>
          <w:sz w:val="20"/>
        </w:rPr>
        <w:t>Stéphane ULLIAC</w:t>
      </w:r>
      <w:r w:rsidRPr="00C445FA">
        <w:rPr>
          <w:rStyle w:val="Lienhypertexte"/>
          <w:rFonts w:ascii="Century Gothic" w:hAnsi="Century Gothic"/>
          <w:sz w:val="20"/>
        </w:rPr>
        <w:t xml:space="preserve"> </w:t>
      </w:r>
      <w:hyperlink r:id="rId7" w:history="1">
        <w:r w:rsidR="00C445FA" w:rsidRPr="00A31E8E">
          <w:rPr>
            <w:rStyle w:val="Lienhypertexte"/>
            <w:rFonts w:ascii="Century Gothic" w:hAnsi="Century Gothic"/>
            <w:sz w:val="20"/>
          </w:rPr>
          <w:t>s.ulliac@reunion.fr</w:t>
        </w:r>
      </w:hyperlink>
    </w:p>
    <w:p w14:paraId="1454B4D7" w14:textId="4263F10F" w:rsidR="00A83351" w:rsidRPr="00BF20AF" w:rsidRDefault="00A83351" w:rsidP="00BF20AF">
      <w:pPr>
        <w:pStyle w:val="Paragraphedeliste"/>
        <w:numPr>
          <w:ilvl w:val="0"/>
          <w:numId w:val="8"/>
        </w:numPr>
        <w:spacing w:before="120"/>
        <w:jc w:val="both"/>
        <w:rPr>
          <w:rFonts w:ascii="Century Gothic" w:hAnsi="Century Gothic"/>
          <w:sz w:val="20"/>
        </w:rPr>
      </w:pPr>
      <w:r w:rsidRPr="00354A7F">
        <w:rPr>
          <w:rFonts w:ascii="Century Gothic" w:hAnsi="Century Gothic"/>
          <w:b/>
          <w:sz w:val="20"/>
        </w:rPr>
        <w:t xml:space="preserve">Responsable Marchés Océan Indien </w:t>
      </w:r>
      <w:r w:rsidR="00BF20AF">
        <w:rPr>
          <w:rFonts w:ascii="Century Gothic" w:hAnsi="Century Gothic"/>
          <w:b/>
          <w:sz w:val="20"/>
        </w:rPr>
        <w:t xml:space="preserve">&amp; AFS </w:t>
      </w:r>
      <w:r w:rsidRPr="00354A7F">
        <w:rPr>
          <w:rFonts w:ascii="Century Gothic" w:hAnsi="Century Gothic"/>
          <w:b/>
          <w:sz w:val="20"/>
        </w:rPr>
        <w:t>:</w:t>
      </w:r>
      <w:r w:rsidR="00C445FA">
        <w:rPr>
          <w:rFonts w:ascii="Century Gothic" w:hAnsi="Century Gothic"/>
          <w:b/>
          <w:sz w:val="20"/>
        </w:rPr>
        <w:t xml:space="preserve"> </w:t>
      </w:r>
      <w:r w:rsidR="00C445FA" w:rsidRPr="00BF20AF">
        <w:rPr>
          <w:rFonts w:ascii="Century Gothic" w:hAnsi="Century Gothic"/>
          <w:sz w:val="20"/>
        </w:rPr>
        <w:t>Aurore LORION</w:t>
      </w:r>
      <w:r w:rsidR="00C445FA" w:rsidRPr="00BF20AF">
        <w:rPr>
          <w:rFonts w:ascii="Century Gothic" w:hAnsi="Century Gothic"/>
          <w:b/>
          <w:sz w:val="20"/>
        </w:rPr>
        <w:t xml:space="preserve"> </w:t>
      </w:r>
      <w:r w:rsidR="00C445FA" w:rsidRPr="00BF20AF">
        <w:rPr>
          <w:rStyle w:val="Lienhypertexte"/>
          <w:rFonts w:ascii="Century Gothic" w:hAnsi="Century Gothic"/>
          <w:sz w:val="20"/>
        </w:rPr>
        <w:t>a.lorion@reunion.fr</w:t>
      </w:r>
      <w:r w:rsidR="00C445FA" w:rsidRPr="00BF20AF">
        <w:rPr>
          <w:rFonts w:ascii="Century Gothic" w:hAnsi="Century Gothic"/>
          <w:sz w:val="20"/>
        </w:rPr>
        <w:t> </w:t>
      </w:r>
      <w:r w:rsidR="00BF20AF" w:rsidRPr="00BF20AF">
        <w:rPr>
          <w:rFonts w:ascii="Century Gothic" w:hAnsi="Century Gothic"/>
          <w:sz w:val="20"/>
        </w:rPr>
        <w:t xml:space="preserve"> </w:t>
      </w:r>
    </w:p>
    <w:p w14:paraId="10AA5521" w14:textId="77777777" w:rsidR="00A83351" w:rsidRPr="00354A7F" w:rsidRDefault="00A83351" w:rsidP="00A83351">
      <w:pPr>
        <w:pStyle w:val="Paragraphedeliste"/>
        <w:spacing w:before="120"/>
        <w:ind w:left="1418" w:right="-142"/>
        <w:jc w:val="both"/>
        <w:rPr>
          <w:sz w:val="20"/>
        </w:rPr>
      </w:pPr>
    </w:p>
    <w:p w14:paraId="71908F3A" w14:textId="77777777" w:rsidR="00A83351" w:rsidRPr="00087958" w:rsidRDefault="00A83351" w:rsidP="00A83351">
      <w:pPr>
        <w:spacing w:before="120"/>
        <w:jc w:val="both"/>
        <w:rPr>
          <w:rFonts w:ascii="Century Gothic" w:hAnsi="Century Gothic"/>
          <w:b/>
          <w:sz w:val="20"/>
        </w:rPr>
      </w:pPr>
    </w:p>
    <w:p w14:paraId="51D3A5C5" w14:textId="6050419D" w:rsidR="00A83351" w:rsidRPr="00087958" w:rsidRDefault="00A83351" w:rsidP="00A83351">
      <w:pPr>
        <w:spacing w:before="120"/>
        <w:jc w:val="both"/>
        <w:rPr>
          <w:rFonts w:ascii="Century Gothic" w:hAnsi="Century Gothic"/>
          <w:b/>
          <w:sz w:val="20"/>
        </w:rPr>
      </w:pPr>
      <w:r w:rsidRPr="00087958">
        <w:rPr>
          <w:rFonts w:ascii="Century Gothic" w:hAnsi="Century Gothic"/>
          <w:b/>
          <w:sz w:val="20"/>
        </w:rPr>
        <w:t xml:space="preserve">Date limite de dépôt des dossiers : </w:t>
      </w:r>
      <w:r w:rsidR="00213CA9">
        <w:rPr>
          <w:rFonts w:ascii="Century Gothic" w:hAnsi="Century Gothic"/>
          <w:b/>
          <w:sz w:val="20"/>
        </w:rPr>
        <w:t>30 mai 2019</w:t>
      </w:r>
      <w:r w:rsidRPr="00087958">
        <w:rPr>
          <w:rFonts w:ascii="Century Gothic" w:hAnsi="Century Gothic"/>
          <w:b/>
          <w:sz w:val="20"/>
        </w:rPr>
        <w:t xml:space="preserve"> à minuit </w:t>
      </w:r>
    </w:p>
    <w:p w14:paraId="3F8B6097" w14:textId="77777777" w:rsidR="00A83351" w:rsidRPr="00087958" w:rsidRDefault="00A83351" w:rsidP="00A83351">
      <w:pPr>
        <w:ind w:right="-1"/>
        <w:jc w:val="both"/>
        <w:rPr>
          <w:rFonts w:ascii="Century Gothic" w:hAnsi="Century Gothic"/>
          <w:b/>
          <w:sz w:val="20"/>
          <w:u w:val="single"/>
        </w:rPr>
      </w:pPr>
    </w:p>
    <w:p w14:paraId="61055B84" w14:textId="77777777" w:rsidR="00A83351" w:rsidRPr="00087958" w:rsidRDefault="00A83351" w:rsidP="00A83351">
      <w:pPr>
        <w:ind w:right="-1"/>
        <w:jc w:val="both"/>
        <w:rPr>
          <w:rFonts w:ascii="Century Gothic" w:hAnsi="Century Gothic"/>
          <w:b/>
          <w:strike/>
          <w:sz w:val="20"/>
          <w:u w:val="single"/>
        </w:rPr>
      </w:pPr>
    </w:p>
    <w:p w14:paraId="2594CEEA" w14:textId="77777777" w:rsidR="00A83351" w:rsidRPr="00087958" w:rsidRDefault="00A83351" w:rsidP="00A83351">
      <w:pPr>
        <w:spacing w:after="160" w:line="259" w:lineRule="auto"/>
        <w:jc w:val="both"/>
        <w:rPr>
          <w:rFonts w:ascii="Century Gothic" w:hAnsi="Century Gothic"/>
          <w:b/>
          <w:sz w:val="20"/>
          <w:u w:val="single"/>
        </w:rPr>
      </w:pPr>
      <w:r w:rsidRPr="00087958">
        <w:rPr>
          <w:rFonts w:ascii="Century Gothic" w:hAnsi="Century Gothic"/>
          <w:b/>
          <w:sz w:val="20"/>
          <w:u w:val="single"/>
        </w:rPr>
        <w:br w:type="page"/>
      </w:r>
    </w:p>
    <w:p w14:paraId="58D2B96E" w14:textId="77777777" w:rsidR="00A83351" w:rsidRPr="00A4181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bookmarkStart w:id="0" w:name="_Toc348448050"/>
      <w:r w:rsidRPr="00A41811">
        <w:rPr>
          <w:rFonts w:ascii="Century Gothic" w:hAnsi="Century Gothic"/>
          <w:b/>
          <w:color w:val="auto"/>
          <w:sz w:val="24"/>
          <w:szCs w:val="24"/>
        </w:rPr>
        <w:lastRenderedPageBreak/>
        <w:t xml:space="preserve">Contexte </w:t>
      </w:r>
      <w:bookmarkStart w:id="1" w:name="_Toc348448053"/>
      <w:bookmarkEnd w:id="0"/>
    </w:p>
    <w:p w14:paraId="2720834F" w14:textId="77777777" w:rsidR="00A83351" w:rsidRPr="00AA2A62" w:rsidRDefault="00A83351" w:rsidP="00A83351">
      <w:pPr>
        <w:pStyle w:val="Default"/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L’Ile de l</w:t>
      </w:r>
      <w:r w:rsidRPr="00AA2A62">
        <w:rPr>
          <w:rFonts w:ascii="Century Gothic" w:hAnsi="Century Gothic"/>
          <w:sz w:val="20"/>
          <w:szCs w:val="20"/>
        </w:rPr>
        <w:t>a Réunion Tourisme (IRT), dans ses missions essentielles de promotion du tourisme, met en place des mesures incitatives visant à renforcer la distribution commerciale conformément aux orientations stratégiques de sa nouvelle feuille de route.</w:t>
      </w:r>
    </w:p>
    <w:p w14:paraId="255A3914" w14:textId="77777777" w:rsidR="00A83351" w:rsidRPr="00473D12" w:rsidRDefault="00A83351" w:rsidP="00A83351">
      <w:pPr>
        <w:pStyle w:val="Default"/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Dans ce cadre, l'IRT institue un dispositif spécifique et innovant décrit ci-après, à destination des tour-opérateurs, dans le but de d</w:t>
      </w:r>
      <w:r w:rsidRPr="001A38D6">
        <w:rPr>
          <w:rFonts w:ascii="Century Gothic" w:hAnsi="Century Gothic"/>
          <w:sz w:val="20"/>
          <w:szCs w:val="20"/>
        </w:rPr>
        <w:t xml:space="preserve">ynamiser les ventes sur la destination </w:t>
      </w:r>
      <w:r>
        <w:rPr>
          <w:rFonts w:ascii="Century Gothic" w:hAnsi="Century Gothic"/>
          <w:sz w:val="20"/>
          <w:szCs w:val="20"/>
        </w:rPr>
        <w:t xml:space="preserve">et de </w:t>
      </w:r>
      <w:r w:rsidRPr="001A38D6">
        <w:rPr>
          <w:rFonts w:ascii="Century Gothic" w:hAnsi="Century Gothic"/>
          <w:sz w:val="20"/>
          <w:szCs w:val="20"/>
        </w:rPr>
        <w:t xml:space="preserve">développer une relation durable avec </w:t>
      </w:r>
      <w:r>
        <w:rPr>
          <w:rFonts w:ascii="Century Gothic" w:hAnsi="Century Gothic"/>
          <w:sz w:val="20"/>
          <w:szCs w:val="20"/>
        </w:rPr>
        <w:t>ces derniers</w:t>
      </w:r>
      <w:r w:rsidRPr="001A38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- </w:t>
      </w:r>
      <w:r w:rsidRPr="001A38D6">
        <w:rPr>
          <w:rFonts w:ascii="Century Gothic" w:hAnsi="Century Gothic"/>
          <w:sz w:val="20"/>
          <w:szCs w:val="20"/>
        </w:rPr>
        <w:t>relais commerciaux de la destination</w:t>
      </w:r>
      <w:r>
        <w:rPr>
          <w:rFonts w:ascii="Century Gothic" w:hAnsi="Century Gothic"/>
          <w:sz w:val="20"/>
          <w:szCs w:val="20"/>
        </w:rPr>
        <w:t xml:space="preserve"> – ainsi que les réceptifs.</w:t>
      </w:r>
    </w:p>
    <w:p w14:paraId="114C83C5" w14:textId="77777777" w:rsidR="00A83351" w:rsidRPr="00054C67" w:rsidRDefault="00A83351" w:rsidP="00A83351">
      <w:pPr>
        <w:pStyle w:val="Default"/>
        <w:ind w:right="-1"/>
        <w:jc w:val="both"/>
        <w:rPr>
          <w:rFonts w:ascii="Century Gothic" w:hAnsi="Century Gothic"/>
          <w:sz w:val="20"/>
          <w:szCs w:val="20"/>
        </w:rPr>
      </w:pPr>
    </w:p>
    <w:p w14:paraId="3F67C554" w14:textId="77777777" w:rsidR="00A8335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0B09FA2A" w14:textId="77777777" w:rsidR="00A83351" w:rsidRPr="00A4181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A41811">
        <w:rPr>
          <w:rFonts w:ascii="Century Gothic" w:hAnsi="Century Gothic"/>
          <w:b/>
          <w:color w:val="auto"/>
          <w:sz w:val="24"/>
          <w:szCs w:val="24"/>
        </w:rPr>
        <w:t>ARTICLE 1 :</w:t>
      </w:r>
      <w:bookmarkEnd w:id="1"/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 Objet </w:t>
      </w:r>
    </w:p>
    <w:p w14:paraId="18CEDE26" w14:textId="1808508B" w:rsidR="00A83351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bookmarkStart w:id="2" w:name="_Toc348448054"/>
      <w:r w:rsidRPr="009913E2">
        <w:rPr>
          <w:rFonts w:ascii="Century Gothic" w:hAnsi="Century Gothic"/>
          <w:sz w:val="20"/>
        </w:rPr>
        <w:t xml:space="preserve">L’objet du présent appel à manifestation d’intérêt est </w:t>
      </w:r>
      <w:r w:rsidRPr="00FA6274">
        <w:rPr>
          <w:rFonts w:ascii="Century Gothic" w:hAnsi="Century Gothic"/>
          <w:sz w:val="20"/>
        </w:rPr>
        <w:t>d’identifier</w:t>
      </w:r>
      <w:r w:rsidRPr="00CB5316">
        <w:rPr>
          <w:rFonts w:ascii="Century Gothic" w:hAnsi="Century Gothic"/>
          <w:sz w:val="20"/>
        </w:rPr>
        <w:t xml:space="preserve"> les tour-opérateurs (TO) ou </w:t>
      </w:r>
      <w:r w:rsidRPr="00FA6274">
        <w:rPr>
          <w:rFonts w:ascii="Century Gothic" w:hAnsi="Century Gothic"/>
          <w:sz w:val="20"/>
        </w:rPr>
        <w:t>voyagistes promouvant la destination Réunion et auprès desquels l’IRT entend s’engager, par le versement de primes en fonction du nombre de ventes de séjour effectivement réalisées au cours de l’année</w:t>
      </w:r>
      <w:r>
        <w:rPr>
          <w:rFonts w:ascii="Century Gothic" w:hAnsi="Century Gothic"/>
          <w:sz w:val="20"/>
        </w:rPr>
        <w:t xml:space="preserve"> 201</w:t>
      </w:r>
      <w:r w:rsidR="00B300CE">
        <w:rPr>
          <w:rFonts w:ascii="Century Gothic" w:hAnsi="Century Gothic"/>
          <w:sz w:val="20"/>
        </w:rPr>
        <w:t>9</w:t>
      </w:r>
      <w:r w:rsidRPr="00FA6274">
        <w:rPr>
          <w:rFonts w:ascii="Century Gothic" w:hAnsi="Century Gothic"/>
          <w:sz w:val="20"/>
        </w:rPr>
        <w:t>.</w:t>
      </w:r>
    </w:p>
    <w:p w14:paraId="532D16D2" w14:textId="77777777" w:rsidR="00A83351" w:rsidRPr="009913E2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</w:p>
    <w:p w14:paraId="03D146EA" w14:textId="77777777" w:rsidR="00A83351" w:rsidRPr="009913E2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9913E2">
        <w:rPr>
          <w:rFonts w:ascii="Century Gothic" w:hAnsi="Century Gothic"/>
          <w:b/>
          <w:color w:val="auto"/>
          <w:sz w:val="24"/>
          <w:szCs w:val="24"/>
        </w:rPr>
        <w:t xml:space="preserve">ARTICLE 2 : Mécanisme </w:t>
      </w:r>
    </w:p>
    <w:p w14:paraId="0E9A4392" w14:textId="77777777" w:rsidR="00A83351" w:rsidRPr="009913E2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 w:rsidRPr="009861DA">
        <w:rPr>
          <w:rFonts w:ascii="Century Gothic" w:hAnsi="Century Gothic"/>
          <w:sz w:val="20"/>
        </w:rPr>
        <w:t>L’IRT attribuera des primes aux TO répondant aux conditions d’éligibilité et ayant rempli les formalités administratives, selon la grille de répartition annexée au présent avis (annexe 3 « grille Marchés Océan Indien »).</w:t>
      </w:r>
      <w:r w:rsidRPr="009913E2">
        <w:rPr>
          <w:rFonts w:ascii="Century Gothic" w:hAnsi="Century Gothic"/>
          <w:sz w:val="20"/>
        </w:rPr>
        <w:t xml:space="preserve">  </w:t>
      </w:r>
    </w:p>
    <w:p w14:paraId="4F1EF33B" w14:textId="77777777" w:rsidR="00A83351" w:rsidRPr="009913E2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 w:rsidRPr="009913E2">
        <w:rPr>
          <w:rFonts w:ascii="Century Gothic" w:hAnsi="Century Gothic"/>
          <w:sz w:val="20"/>
        </w:rPr>
        <w:t>L’attention des opérateurs est attirée sur le fait que dans le cadre de ce dispositif expérimental, les primes seront toutefois attribuées da</w:t>
      </w:r>
      <w:r>
        <w:rPr>
          <w:rFonts w:ascii="Century Gothic" w:hAnsi="Century Gothic"/>
          <w:sz w:val="20"/>
        </w:rPr>
        <w:t>ns la limite du budget alloué, qui s’élève à 15 000</w:t>
      </w:r>
      <w:r w:rsidRPr="00FC5D09">
        <w:rPr>
          <w:rFonts w:ascii="Century Gothic" w:hAnsi="Century Gothic"/>
          <w:sz w:val="20"/>
        </w:rPr>
        <w:t xml:space="preserve"> euros au total.</w:t>
      </w:r>
      <w:r>
        <w:rPr>
          <w:rFonts w:ascii="Century Gothic" w:hAnsi="Century Gothic"/>
          <w:b/>
          <w:sz w:val="20"/>
        </w:rPr>
        <w:t xml:space="preserve"> </w:t>
      </w:r>
    </w:p>
    <w:p w14:paraId="71660B4D" w14:textId="25C111F0" w:rsidR="00A83351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 w:rsidRPr="009913E2">
        <w:rPr>
          <w:rFonts w:ascii="Century Gothic" w:hAnsi="Century Gothic"/>
          <w:sz w:val="20"/>
        </w:rPr>
        <w:t>Ainsi, dans le cas exceptionnel</w:t>
      </w:r>
      <w:r>
        <w:rPr>
          <w:rFonts w:ascii="Century Gothic" w:hAnsi="Century Gothic"/>
          <w:sz w:val="20"/>
        </w:rPr>
        <w:t xml:space="preserve"> où les ventes excèderaient largement les estimations réalisées par l’IRT pour l’année 201</w:t>
      </w:r>
      <w:r w:rsidR="00B300CE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sz w:val="20"/>
        </w:rPr>
        <w:t xml:space="preserve"> et entraineraient un dépassement budgétaire, la méthode de calcul de la répartition des primes (montant final alloué par TO) se fera comme suit : </w:t>
      </w:r>
    </w:p>
    <w:p w14:paraId="72CC8640" w14:textId="77777777" w:rsidR="00A83351" w:rsidRDefault="00A83351" w:rsidP="00A83351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M</w:t>
      </w:r>
      <w:r w:rsidRPr="00FC464E">
        <w:rPr>
          <w:rFonts w:ascii="Century Gothic" w:hAnsi="Century Gothic"/>
          <w:sz w:val="20"/>
          <w:u w:val="single"/>
        </w:rPr>
        <w:t>ontant du budget alloué X nombre de pax annuel déclaré par le TO</w:t>
      </w:r>
    </w:p>
    <w:p w14:paraId="2B473A11" w14:textId="77777777" w:rsidR="00A83351" w:rsidRDefault="00A83351" w:rsidP="00A83351">
      <w:pPr>
        <w:spacing w:after="200"/>
        <w:jc w:val="center"/>
        <w:rPr>
          <w:rFonts w:ascii="Century Gothic" w:hAnsi="Century Gothic"/>
          <w:sz w:val="20"/>
        </w:rPr>
      </w:pPr>
      <w:r w:rsidRPr="008912A5">
        <w:rPr>
          <w:rFonts w:ascii="Century Gothic" w:hAnsi="Century Gothic"/>
          <w:sz w:val="20"/>
        </w:rPr>
        <w:t>Nombre total des ventes déclarées par les TO</w:t>
      </w:r>
      <w:r>
        <w:rPr>
          <w:rFonts w:ascii="Century Gothic" w:hAnsi="Century Gothic"/>
          <w:sz w:val="20"/>
        </w:rPr>
        <w:t xml:space="preserve"> participants</w:t>
      </w:r>
    </w:p>
    <w:p w14:paraId="668B588B" w14:textId="77777777" w:rsidR="00A83351" w:rsidRPr="00B45CAC" w:rsidRDefault="00A83351" w:rsidP="00A83351">
      <w:pPr>
        <w:spacing w:before="120"/>
        <w:jc w:val="both"/>
        <w:rPr>
          <w:rFonts w:ascii="Century Gothic" w:hAnsi="Century Gothic"/>
          <w:i/>
          <w:sz w:val="20"/>
        </w:rPr>
      </w:pPr>
    </w:p>
    <w:p w14:paraId="0AD0B972" w14:textId="77777777" w:rsidR="00A83351" w:rsidRPr="00A4181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ARTICLE </w:t>
      </w:r>
      <w:r>
        <w:rPr>
          <w:rFonts w:ascii="Century Gothic" w:hAnsi="Century Gothic"/>
          <w:b/>
          <w:color w:val="auto"/>
          <w:sz w:val="24"/>
          <w:szCs w:val="24"/>
        </w:rPr>
        <w:t>3</w:t>
      </w: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 : Eligibilité</w:t>
      </w:r>
    </w:p>
    <w:p w14:paraId="046701F1" w14:textId="77777777" w:rsidR="00A83351" w:rsidRPr="00C97736" w:rsidRDefault="00A83351" w:rsidP="00A83351">
      <w:pPr>
        <w:spacing w:before="120" w:after="200"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Pour être éligible au dispositif, </w:t>
      </w:r>
      <w:r w:rsidRPr="00C97736">
        <w:rPr>
          <w:rFonts w:ascii="Century Gothic" w:hAnsi="Century Gothic"/>
          <w:sz w:val="20"/>
        </w:rPr>
        <w:t>les caractéristiques cumulatives ci-après doivent être remplies.</w:t>
      </w:r>
    </w:p>
    <w:p w14:paraId="7EC21E83" w14:textId="77777777" w:rsidR="00A83351" w:rsidRPr="00542397" w:rsidRDefault="00A83351" w:rsidP="00A83351">
      <w:pPr>
        <w:pStyle w:val="Paragraphedeliste"/>
        <w:numPr>
          <w:ilvl w:val="0"/>
          <w:numId w:val="1"/>
        </w:numPr>
        <w:spacing w:before="120" w:after="200"/>
        <w:jc w:val="both"/>
        <w:rPr>
          <w:rFonts w:ascii="Century Gothic" w:hAnsi="Century Gothic"/>
          <w:sz w:val="20"/>
        </w:rPr>
      </w:pPr>
      <w:r w:rsidRPr="00542397">
        <w:rPr>
          <w:rFonts w:ascii="Century Gothic" w:hAnsi="Century Gothic"/>
          <w:b/>
          <w:sz w:val="20"/>
        </w:rPr>
        <w:t>Bénéficiaires </w:t>
      </w:r>
      <w:r w:rsidRPr="00542397">
        <w:rPr>
          <w:rFonts w:ascii="Century Gothic" w:hAnsi="Century Gothic"/>
          <w:sz w:val="20"/>
        </w:rPr>
        <w:t>: tour-opérateurs / voyagistes</w:t>
      </w:r>
    </w:p>
    <w:p w14:paraId="78198EFB" w14:textId="77777777" w:rsidR="00A83351" w:rsidRPr="00542397" w:rsidRDefault="00A83351" w:rsidP="00A83351">
      <w:pPr>
        <w:pStyle w:val="Paragraphedeliste"/>
        <w:spacing w:before="120" w:after="200"/>
        <w:jc w:val="both"/>
        <w:rPr>
          <w:rFonts w:ascii="Century Gothic" w:hAnsi="Century Gothic"/>
          <w:i/>
          <w:sz w:val="20"/>
        </w:rPr>
      </w:pPr>
      <w:r w:rsidRPr="00542397">
        <w:rPr>
          <w:rFonts w:ascii="Century Gothic" w:hAnsi="Century Gothic"/>
          <w:i/>
          <w:sz w:val="20"/>
        </w:rPr>
        <w:t>On entend par tour-opérateur ou voyagiste tout organisme chargé d'assembler plusieurs prestations de ses fournisseurs (compagnies aériennes, hôteliers, autocaristes, restaurateurs, guides, etc.) et de les vendre à un prix tout compris, c'est-à-dire un « forfait » ou « package ».</w:t>
      </w:r>
    </w:p>
    <w:p w14:paraId="6298BA1E" w14:textId="77777777" w:rsidR="00BF20AF" w:rsidRPr="00BF20AF" w:rsidRDefault="00BF20AF" w:rsidP="00BF20AF">
      <w:pPr>
        <w:spacing w:before="120" w:after="120"/>
        <w:jc w:val="both"/>
        <w:rPr>
          <w:rFonts w:ascii="Century Gothic" w:hAnsi="Century Gothic"/>
          <w:sz w:val="20"/>
        </w:rPr>
      </w:pPr>
    </w:p>
    <w:p w14:paraId="1D009FB6" w14:textId="0F2391B0" w:rsidR="00A83351" w:rsidRPr="00542397" w:rsidRDefault="00A83351" w:rsidP="00A83351">
      <w:pPr>
        <w:pStyle w:val="Paragraphedeliste"/>
        <w:numPr>
          <w:ilvl w:val="0"/>
          <w:numId w:val="1"/>
        </w:numPr>
        <w:spacing w:before="120" w:after="120"/>
        <w:ind w:left="71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>Marché concerné</w:t>
      </w:r>
      <w:r w:rsidRPr="00542397">
        <w:rPr>
          <w:rFonts w:ascii="Century Gothic" w:hAnsi="Century Gothic"/>
          <w:sz w:val="20"/>
        </w:rPr>
        <w:t xml:space="preserve"> : </w:t>
      </w:r>
      <w:r>
        <w:rPr>
          <w:rFonts w:ascii="Century Gothic" w:hAnsi="Century Gothic"/>
          <w:sz w:val="20"/>
        </w:rPr>
        <w:t>Maurice</w:t>
      </w:r>
    </w:p>
    <w:p w14:paraId="3BFBD7CB" w14:textId="77777777" w:rsidR="00A83351" w:rsidRPr="00542397" w:rsidRDefault="00A83351" w:rsidP="00A83351">
      <w:pPr>
        <w:pStyle w:val="Paragraphedeliste"/>
        <w:spacing w:before="120" w:after="120"/>
        <w:ind w:left="714"/>
        <w:jc w:val="both"/>
        <w:rPr>
          <w:rFonts w:ascii="Century Gothic" w:hAnsi="Century Gothic"/>
          <w:sz w:val="20"/>
        </w:rPr>
      </w:pPr>
    </w:p>
    <w:p w14:paraId="479255F2" w14:textId="77777777" w:rsidR="00A83351" w:rsidRPr="00542397" w:rsidRDefault="00A83351" w:rsidP="00A83351">
      <w:pPr>
        <w:pStyle w:val="Paragraphedeliste"/>
        <w:numPr>
          <w:ilvl w:val="0"/>
          <w:numId w:val="1"/>
        </w:numPr>
        <w:spacing w:before="120" w:after="200"/>
        <w:jc w:val="both"/>
        <w:rPr>
          <w:rFonts w:ascii="Century Gothic" w:hAnsi="Century Gothic"/>
          <w:sz w:val="20"/>
        </w:rPr>
      </w:pPr>
      <w:r w:rsidRPr="00542397">
        <w:rPr>
          <w:rFonts w:ascii="Century Gothic" w:hAnsi="Century Gothic"/>
          <w:b/>
          <w:sz w:val="20"/>
        </w:rPr>
        <w:t>Ventes concernées</w:t>
      </w:r>
      <w:r w:rsidRPr="00542397">
        <w:rPr>
          <w:rFonts w:ascii="Century Gothic" w:hAnsi="Century Gothic"/>
          <w:sz w:val="20"/>
        </w:rPr>
        <w:t xml:space="preserve"> : </w:t>
      </w:r>
    </w:p>
    <w:p w14:paraId="53F7FE87" w14:textId="77777777" w:rsidR="00A83351" w:rsidRPr="00542397" w:rsidRDefault="00A83351" w:rsidP="00A83351">
      <w:pPr>
        <w:pStyle w:val="Paragraphedeliste"/>
        <w:numPr>
          <w:ilvl w:val="0"/>
          <w:numId w:val="7"/>
        </w:numPr>
        <w:spacing w:before="120" w:after="200"/>
        <w:jc w:val="both"/>
        <w:rPr>
          <w:rFonts w:ascii="Century Gothic" w:hAnsi="Century Gothic"/>
          <w:sz w:val="20"/>
        </w:rPr>
      </w:pPr>
      <w:r w:rsidRPr="00542397">
        <w:rPr>
          <w:rFonts w:ascii="Century Gothic" w:hAnsi="Century Gothic"/>
          <w:sz w:val="20"/>
        </w:rPr>
        <w:t>Billets d’avion</w:t>
      </w:r>
      <w:r>
        <w:rPr>
          <w:rFonts w:ascii="Century Gothic" w:hAnsi="Century Gothic"/>
          <w:sz w:val="20"/>
        </w:rPr>
        <w:t xml:space="preserve"> aller-retour,</w:t>
      </w:r>
      <w:r w:rsidRPr="00542397">
        <w:rPr>
          <w:rFonts w:ascii="Century Gothic" w:hAnsi="Century Gothic"/>
          <w:sz w:val="20"/>
        </w:rPr>
        <w:t xml:space="preserve"> </w:t>
      </w:r>
    </w:p>
    <w:p w14:paraId="6BEC642C" w14:textId="5FB7DB54" w:rsidR="00A83351" w:rsidRPr="00542397" w:rsidRDefault="00A83351" w:rsidP="00A83351">
      <w:pPr>
        <w:pStyle w:val="Paragraphedeliste"/>
        <w:numPr>
          <w:ilvl w:val="0"/>
          <w:numId w:val="7"/>
        </w:num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</w:t>
      </w:r>
      <w:r w:rsidRPr="00542397">
        <w:rPr>
          <w:rFonts w:ascii="Century Gothic" w:hAnsi="Century Gothic"/>
          <w:sz w:val="20"/>
        </w:rPr>
        <w:t>éjours packagés Réunion</w:t>
      </w:r>
      <w:r>
        <w:rPr>
          <w:rFonts w:ascii="Century Gothic" w:hAnsi="Century Gothic"/>
          <w:sz w:val="20"/>
        </w:rPr>
        <w:t xml:space="preserve"> </w:t>
      </w:r>
      <w:r w:rsidR="00B300CE">
        <w:rPr>
          <w:rFonts w:ascii="Century Gothic" w:hAnsi="Century Gothic"/>
          <w:sz w:val="20"/>
        </w:rPr>
        <w:t xml:space="preserve">exclusivement </w:t>
      </w:r>
      <w:r>
        <w:rPr>
          <w:rFonts w:ascii="Century Gothic" w:hAnsi="Century Gothic"/>
          <w:sz w:val="20"/>
        </w:rPr>
        <w:t>(aller/retour)</w:t>
      </w:r>
      <w:r w:rsidR="00B300CE">
        <w:rPr>
          <w:rFonts w:ascii="Century Gothic" w:hAnsi="Century Gothic"/>
          <w:sz w:val="20"/>
        </w:rPr>
        <w:t xml:space="preserve"> </w:t>
      </w:r>
      <w:r w:rsidR="00B300CE" w:rsidRPr="00B300CE">
        <w:rPr>
          <w:rFonts w:ascii="Century Gothic" w:hAnsi="Century Gothic"/>
          <w:b/>
          <w:sz w:val="20"/>
        </w:rPr>
        <w:t>et non combinés</w:t>
      </w:r>
      <w:r w:rsidR="00B300CE">
        <w:rPr>
          <w:rFonts w:ascii="Century Gothic" w:hAnsi="Century Gothic"/>
          <w:sz w:val="20"/>
        </w:rPr>
        <w:t xml:space="preserve"> </w:t>
      </w:r>
    </w:p>
    <w:p w14:paraId="66CBD1BC" w14:textId="77777777" w:rsidR="00A83351" w:rsidRPr="00542397" w:rsidRDefault="00A83351" w:rsidP="00A83351">
      <w:pPr>
        <w:pStyle w:val="Paragraphedeliste"/>
        <w:rPr>
          <w:rFonts w:ascii="Century Gothic" w:hAnsi="Century Gothic"/>
          <w:sz w:val="20"/>
        </w:rPr>
      </w:pPr>
    </w:p>
    <w:p w14:paraId="58885EC0" w14:textId="42A655C0" w:rsidR="00213CA9" w:rsidRDefault="00A83351" w:rsidP="00A83351">
      <w:pPr>
        <w:pStyle w:val="Paragraphedeliste"/>
        <w:numPr>
          <w:ilvl w:val="0"/>
          <w:numId w:val="1"/>
        </w:numPr>
        <w:spacing w:before="120" w:after="200"/>
        <w:jc w:val="both"/>
        <w:rPr>
          <w:rFonts w:ascii="Century Gothic" w:hAnsi="Century Gothic"/>
          <w:sz w:val="20"/>
        </w:rPr>
      </w:pPr>
      <w:r w:rsidRPr="0006621A">
        <w:rPr>
          <w:rFonts w:ascii="Century Gothic" w:hAnsi="Century Gothic"/>
          <w:b/>
          <w:sz w:val="20"/>
        </w:rPr>
        <w:t>Période concernée</w:t>
      </w:r>
      <w:r>
        <w:rPr>
          <w:rFonts w:ascii="Century Gothic" w:hAnsi="Century Gothic"/>
          <w:sz w:val="20"/>
        </w:rPr>
        <w:t xml:space="preserve"> : </w:t>
      </w:r>
      <w:r w:rsidRPr="00C97736">
        <w:rPr>
          <w:rFonts w:ascii="Century Gothic" w:hAnsi="Century Gothic"/>
          <w:sz w:val="20"/>
        </w:rPr>
        <w:t xml:space="preserve">ventes réalisées pour la période du </w:t>
      </w:r>
      <w:r w:rsidR="00213CA9">
        <w:rPr>
          <w:rFonts w:ascii="Century Gothic" w:hAnsi="Century Gothic"/>
          <w:sz w:val="20"/>
        </w:rPr>
        <w:t>1</w:t>
      </w:r>
      <w:r w:rsidR="00213CA9" w:rsidRPr="00213CA9">
        <w:rPr>
          <w:rFonts w:ascii="Century Gothic" w:hAnsi="Century Gothic"/>
          <w:sz w:val="20"/>
          <w:vertAlign w:val="superscript"/>
        </w:rPr>
        <w:t>er</w:t>
      </w:r>
      <w:r w:rsidR="00213CA9">
        <w:rPr>
          <w:rFonts w:ascii="Century Gothic" w:hAnsi="Century Gothic"/>
          <w:sz w:val="20"/>
        </w:rPr>
        <w:t xml:space="preserve"> </w:t>
      </w:r>
      <w:r w:rsidR="001C0B13">
        <w:rPr>
          <w:rFonts w:ascii="Century Gothic" w:hAnsi="Century Gothic"/>
          <w:sz w:val="20"/>
        </w:rPr>
        <w:t>février</w:t>
      </w:r>
      <w:r w:rsidR="00213CA9">
        <w:rPr>
          <w:rFonts w:ascii="Century Gothic" w:hAnsi="Century Gothic"/>
          <w:sz w:val="20"/>
        </w:rPr>
        <w:t xml:space="preserve"> au 15 décembre 2019 inclus</w:t>
      </w:r>
    </w:p>
    <w:p w14:paraId="343A0CEA" w14:textId="02A7C405" w:rsidR="00A83351" w:rsidRPr="00C97736" w:rsidRDefault="00A83351" w:rsidP="00213CA9">
      <w:pPr>
        <w:pStyle w:val="Paragraphedeliste"/>
        <w:spacing w:before="120" w:after="200"/>
        <w:jc w:val="both"/>
        <w:rPr>
          <w:rFonts w:ascii="Century Gothic" w:hAnsi="Century Gothic"/>
          <w:sz w:val="20"/>
        </w:rPr>
      </w:pPr>
      <w:r w:rsidRPr="00C97736">
        <w:rPr>
          <w:rFonts w:ascii="Century Gothic" w:hAnsi="Century Gothic"/>
          <w:sz w:val="20"/>
        </w:rPr>
        <w:t xml:space="preserve"> </w:t>
      </w:r>
    </w:p>
    <w:p w14:paraId="320E2AE6" w14:textId="77777777" w:rsidR="00A83351" w:rsidRPr="00A4181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ARTICLE </w:t>
      </w:r>
      <w:r>
        <w:rPr>
          <w:rFonts w:ascii="Century Gothic" w:hAnsi="Century Gothic"/>
          <w:b/>
          <w:color w:val="auto"/>
          <w:sz w:val="24"/>
          <w:szCs w:val="24"/>
        </w:rPr>
        <w:t>4</w:t>
      </w: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 : Formalités </w:t>
      </w:r>
      <w:r>
        <w:rPr>
          <w:rFonts w:ascii="Century Gothic" w:hAnsi="Century Gothic"/>
          <w:b/>
          <w:color w:val="auto"/>
          <w:sz w:val="24"/>
          <w:szCs w:val="24"/>
        </w:rPr>
        <w:t>préalables</w:t>
      </w:r>
    </w:p>
    <w:p w14:paraId="649094BE" w14:textId="77777777" w:rsidR="00A83351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Les opérateurs répondant aux conditions d’éligibilité et souhaitant participer au dispositif devront produire les documents ci-dessous énoncés et avant la date limite indiquée. Pour chaque opérateur, l’IRT prendra par la suite, une décision unilatérale d’engagement. </w:t>
      </w:r>
    </w:p>
    <w:p w14:paraId="19A7190A" w14:textId="77777777" w:rsidR="00A83351" w:rsidRPr="00330F56" w:rsidRDefault="00A83351" w:rsidP="00A83351">
      <w:pPr>
        <w:spacing w:before="120" w:after="200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4</w:t>
      </w:r>
      <w:r w:rsidRPr="00330F56">
        <w:rPr>
          <w:rFonts w:ascii="Century Gothic" w:hAnsi="Century Gothic"/>
          <w:b/>
          <w:i/>
          <w:sz w:val="20"/>
        </w:rPr>
        <w:t xml:space="preserve">.1 </w:t>
      </w:r>
      <w:r>
        <w:rPr>
          <w:rFonts w:ascii="Century Gothic" w:hAnsi="Century Gothic"/>
          <w:b/>
          <w:i/>
          <w:sz w:val="20"/>
        </w:rPr>
        <w:t>Documents à produire</w:t>
      </w:r>
      <w:r w:rsidRPr="00330F56">
        <w:rPr>
          <w:rFonts w:ascii="Century Gothic" w:hAnsi="Century Gothic"/>
          <w:b/>
          <w:i/>
          <w:sz w:val="20"/>
        </w:rPr>
        <w:t xml:space="preserve"> </w:t>
      </w:r>
    </w:p>
    <w:p w14:paraId="3A784A35" w14:textId="6A700D64" w:rsidR="00A83351" w:rsidRPr="00264721" w:rsidRDefault="00A83351" w:rsidP="00A83351">
      <w:pPr>
        <w:spacing w:before="120" w:after="120"/>
        <w:jc w:val="both"/>
        <w:rPr>
          <w:rFonts w:ascii="Century Gothic" w:hAnsi="Century Gothic"/>
          <w:b/>
          <w:sz w:val="20"/>
        </w:rPr>
      </w:pPr>
      <w:r w:rsidRPr="00264721">
        <w:rPr>
          <w:rFonts w:ascii="Century Gothic" w:hAnsi="Century Gothic"/>
          <w:sz w:val="20"/>
        </w:rPr>
        <w:t xml:space="preserve">Les documents suivants sont à produire impérativement </w:t>
      </w:r>
      <w:r w:rsidRPr="00213CA9">
        <w:rPr>
          <w:rFonts w:ascii="Century Gothic" w:hAnsi="Century Gothic"/>
          <w:b/>
          <w:szCs w:val="22"/>
        </w:rPr>
        <w:t xml:space="preserve">avant le </w:t>
      </w:r>
      <w:r w:rsidR="00213CA9" w:rsidRPr="00213CA9">
        <w:rPr>
          <w:rFonts w:ascii="Century Gothic" w:hAnsi="Century Gothic"/>
          <w:b/>
          <w:szCs w:val="22"/>
          <w:u w:val="single"/>
        </w:rPr>
        <w:t xml:space="preserve">30 </w:t>
      </w:r>
      <w:r w:rsidRPr="00213CA9">
        <w:rPr>
          <w:rFonts w:ascii="Century Gothic" w:hAnsi="Century Gothic"/>
          <w:b/>
          <w:szCs w:val="22"/>
          <w:u w:val="single"/>
        </w:rPr>
        <w:t>mai 201</w:t>
      </w:r>
      <w:r w:rsidR="00213CA9" w:rsidRPr="00213CA9">
        <w:rPr>
          <w:rFonts w:ascii="Century Gothic" w:hAnsi="Century Gothic"/>
          <w:b/>
          <w:szCs w:val="22"/>
          <w:u w:val="single"/>
        </w:rPr>
        <w:t>9</w:t>
      </w:r>
      <w:r>
        <w:rPr>
          <w:rFonts w:ascii="Century Gothic" w:hAnsi="Century Gothic"/>
          <w:b/>
          <w:sz w:val="20"/>
        </w:rPr>
        <w:t xml:space="preserve"> </w:t>
      </w:r>
      <w:r w:rsidRPr="00264721">
        <w:rPr>
          <w:rFonts w:ascii="Century Gothic" w:hAnsi="Century Gothic"/>
          <w:b/>
          <w:sz w:val="20"/>
        </w:rPr>
        <w:t xml:space="preserve">: </w:t>
      </w:r>
    </w:p>
    <w:p w14:paraId="33C3A839" w14:textId="77777777" w:rsidR="00A83351" w:rsidRPr="00264721" w:rsidRDefault="00A83351" w:rsidP="00A83351">
      <w:pPr>
        <w:pStyle w:val="Paragraphedeliste"/>
        <w:numPr>
          <w:ilvl w:val="0"/>
          <w:numId w:val="6"/>
        </w:numPr>
        <w:spacing w:before="120" w:after="200"/>
        <w:jc w:val="both"/>
        <w:rPr>
          <w:rFonts w:ascii="Century Gothic" w:hAnsi="Century Gothic"/>
          <w:sz w:val="20"/>
        </w:rPr>
      </w:pPr>
      <w:r w:rsidRPr="00264721">
        <w:rPr>
          <w:rFonts w:ascii="Century Gothic" w:hAnsi="Century Gothic"/>
          <w:sz w:val="20"/>
        </w:rPr>
        <w:t xml:space="preserve">Une lettre de manifestation d’intérêt dûment remplie (annexe 1), </w:t>
      </w:r>
    </w:p>
    <w:p w14:paraId="74196BCB" w14:textId="1C183975" w:rsidR="00A83351" w:rsidRPr="00264721" w:rsidRDefault="001C0B13" w:rsidP="00A83351">
      <w:pPr>
        <w:pStyle w:val="Paragraphedeliste"/>
        <w:numPr>
          <w:ilvl w:val="0"/>
          <w:numId w:val="6"/>
        </w:num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="00A83351" w:rsidRPr="00264721">
        <w:rPr>
          <w:rFonts w:ascii="Century Gothic" w:hAnsi="Century Gothic"/>
          <w:sz w:val="20"/>
        </w:rPr>
        <w:t>e formulaire déclaratif TO mentionnant notamment, les v</w:t>
      </w:r>
      <w:r w:rsidR="00A83351">
        <w:rPr>
          <w:rFonts w:ascii="Century Gothic" w:hAnsi="Century Gothic"/>
          <w:sz w:val="20"/>
        </w:rPr>
        <w:t>entes réalisées sur l’année 201</w:t>
      </w:r>
      <w:r>
        <w:rPr>
          <w:rFonts w:ascii="Century Gothic" w:hAnsi="Century Gothic"/>
          <w:sz w:val="20"/>
        </w:rPr>
        <w:t>9</w:t>
      </w:r>
      <w:r w:rsidR="00A83351" w:rsidRPr="00264721">
        <w:rPr>
          <w:rFonts w:ascii="Century Gothic" w:hAnsi="Century Gothic"/>
          <w:sz w:val="20"/>
        </w:rPr>
        <w:t>, dûment rempli (annexe 2),</w:t>
      </w:r>
    </w:p>
    <w:p w14:paraId="0E4949D4" w14:textId="77777777" w:rsidR="00A83351" w:rsidRPr="00264721" w:rsidRDefault="00A83351" w:rsidP="00A83351">
      <w:pPr>
        <w:pStyle w:val="Paragraphedeliste"/>
        <w:numPr>
          <w:ilvl w:val="0"/>
          <w:numId w:val="6"/>
        </w:numPr>
        <w:spacing w:before="120" w:after="200"/>
        <w:jc w:val="both"/>
        <w:rPr>
          <w:rFonts w:ascii="Century Gothic" w:hAnsi="Century Gothic"/>
          <w:sz w:val="20"/>
        </w:rPr>
      </w:pPr>
      <w:r w:rsidRPr="00264721">
        <w:rPr>
          <w:rFonts w:ascii="Century Gothic" w:hAnsi="Century Gothic"/>
          <w:sz w:val="20"/>
        </w:rPr>
        <w:t xml:space="preserve">Une copie de l’immatriculation Atout France ou </w:t>
      </w:r>
      <w:r>
        <w:rPr>
          <w:rFonts w:ascii="Century Gothic" w:hAnsi="Century Gothic"/>
          <w:sz w:val="20"/>
        </w:rPr>
        <w:t>enregistrement à la Chambre des Commerces,</w:t>
      </w:r>
    </w:p>
    <w:p w14:paraId="2CA1FFE4" w14:textId="77777777" w:rsidR="00A83351" w:rsidRPr="00264721" w:rsidRDefault="00A83351" w:rsidP="00A83351">
      <w:pPr>
        <w:pStyle w:val="Paragraphedeliste"/>
        <w:numPr>
          <w:ilvl w:val="0"/>
          <w:numId w:val="6"/>
        </w:numPr>
        <w:spacing w:before="120" w:after="200"/>
        <w:jc w:val="both"/>
        <w:rPr>
          <w:rFonts w:ascii="Century Gothic" w:hAnsi="Century Gothic"/>
          <w:sz w:val="20"/>
        </w:rPr>
      </w:pPr>
      <w:r w:rsidRPr="00264721">
        <w:rPr>
          <w:rFonts w:ascii="Century Gothic" w:hAnsi="Century Gothic"/>
          <w:sz w:val="20"/>
        </w:rPr>
        <w:t>Les attestations de régularité fiscale</w:t>
      </w:r>
      <w:r>
        <w:rPr>
          <w:rFonts w:ascii="Century Gothic" w:hAnsi="Century Gothic"/>
          <w:sz w:val="20"/>
        </w:rPr>
        <w:t>s</w:t>
      </w:r>
      <w:r w:rsidRPr="00264721">
        <w:rPr>
          <w:rFonts w:ascii="Century Gothic" w:hAnsi="Century Gothic"/>
          <w:sz w:val="20"/>
        </w:rPr>
        <w:t xml:space="preserve"> et sociale</w:t>
      </w:r>
      <w:r>
        <w:rPr>
          <w:rFonts w:ascii="Century Gothic" w:hAnsi="Century Gothic"/>
          <w:sz w:val="20"/>
        </w:rPr>
        <w:t>s ou attestation sur l’honneur précisant la mise à jour des cotisations sociales et fiscales,</w:t>
      </w:r>
    </w:p>
    <w:p w14:paraId="5DE2984E" w14:textId="77777777" w:rsidR="00A83351" w:rsidRDefault="00A83351" w:rsidP="00A83351">
      <w:pPr>
        <w:pStyle w:val="Paragraphedeliste"/>
        <w:numPr>
          <w:ilvl w:val="0"/>
          <w:numId w:val="6"/>
        </w:numPr>
        <w:spacing w:before="120" w:after="200"/>
        <w:jc w:val="both"/>
        <w:rPr>
          <w:rFonts w:ascii="Century Gothic" w:hAnsi="Century Gothic"/>
          <w:sz w:val="20"/>
        </w:rPr>
      </w:pPr>
      <w:r w:rsidRPr="00264721">
        <w:rPr>
          <w:rFonts w:ascii="Century Gothic" w:hAnsi="Century Gothic"/>
          <w:sz w:val="20"/>
        </w:rPr>
        <w:t>Un relevé d’identité bancaire avec le numéro IBAN</w:t>
      </w:r>
      <w:r>
        <w:rPr>
          <w:rFonts w:ascii="Century Gothic" w:hAnsi="Century Gothic"/>
          <w:sz w:val="20"/>
        </w:rPr>
        <w:t>.</w:t>
      </w:r>
    </w:p>
    <w:p w14:paraId="58F9D74E" w14:textId="357D7846" w:rsidR="00A83351" w:rsidRPr="007B21D9" w:rsidRDefault="00A83351" w:rsidP="00A83351">
      <w:pPr>
        <w:spacing w:before="120" w:after="120"/>
        <w:jc w:val="both"/>
        <w:rPr>
          <w:rFonts w:ascii="Century Gothic" w:hAnsi="Century Gothic"/>
          <w:sz w:val="20"/>
        </w:rPr>
      </w:pPr>
      <w:r w:rsidRPr="00ED603A">
        <w:rPr>
          <w:rFonts w:ascii="Century Gothic" w:hAnsi="Century Gothic"/>
          <w:sz w:val="20"/>
        </w:rPr>
        <w:t>Les opérateurs peuvent également transmettre une plaquette de présentation de leurs structures</w:t>
      </w:r>
      <w:r>
        <w:rPr>
          <w:rFonts w:ascii="Century Gothic" w:hAnsi="Century Gothic"/>
          <w:sz w:val="20"/>
        </w:rPr>
        <w:t xml:space="preserve"> ainsi que </w:t>
      </w:r>
      <w:r w:rsidRPr="007B21D9">
        <w:rPr>
          <w:rFonts w:ascii="Century Gothic" w:hAnsi="Century Gothic"/>
          <w:sz w:val="20"/>
        </w:rPr>
        <w:t xml:space="preserve">leurs actions envisagées en faveur de la destination </w:t>
      </w:r>
      <w:r>
        <w:rPr>
          <w:rFonts w:ascii="Century Gothic" w:hAnsi="Century Gothic"/>
          <w:sz w:val="20"/>
        </w:rPr>
        <w:t>pour l’année 201</w:t>
      </w:r>
      <w:r w:rsidR="001C0B13">
        <w:rPr>
          <w:rFonts w:ascii="Century Gothic" w:hAnsi="Century Gothic"/>
          <w:sz w:val="20"/>
        </w:rPr>
        <w:t>9</w:t>
      </w:r>
      <w:r w:rsidRPr="007B21D9">
        <w:rPr>
          <w:rFonts w:ascii="Century Gothic" w:hAnsi="Century Gothic"/>
          <w:sz w:val="20"/>
        </w:rPr>
        <w:t>.</w:t>
      </w:r>
    </w:p>
    <w:p w14:paraId="03C5A58E" w14:textId="77777777" w:rsidR="00A83351" w:rsidRPr="007B21D9" w:rsidRDefault="00A83351" w:rsidP="00A83351">
      <w:pPr>
        <w:spacing w:before="240" w:after="120"/>
        <w:jc w:val="both"/>
        <w:rPr>
          <w:rFonts w:ascii="Century Gothic" w:hAnsi="Century Gothic"/>
          <w:b/>
          <w:i/>
          <w:sz w:val="20"/>
        </w:rPr>
      </w:pPr>
      <w:r w:rsidRPr="007B21D9">
        <w:rPr>
          <w:rFonts w:ascii="Century Gothic" w:hAnsi="Century Gothic"/>
          <w:b/>
          <w:i/>
          <w:sz w:val="20"/>
        </w:rPr>
        <w:t>4.2 Décision de l’IRT</w:t>
      </w:r>
    </w:p>
    <w:p w14:paraId="506CE05F" w14:textId="77777777" w:rsidR="00A83351" w:rsidRPr="007B21D9" w:rsidRDefault="00A83351" w:rsidP="00A83351">
      <w:pPr>
        <w:spacing w:before="120"/>
        <w:jc w:val="both"/>
        <w:rPr>
          <w:rFonts w:ascii="Century Gothic" w:hAnsi="Century Gothic"/>
          <w:sz w:val="20"/>
        </w:rPr>
      </w:pPr>
      <w:r w:rsidRPr="007B21D9">
        <w:rPr>
          <w:rFonts w:ascii="Century Gothic" w:hAnsi="Century Gothic"/>
          <w:sz w:val="20"/>
        </w:rPr>
        <w:t>Lorsqu’il est constaté que le dossier est complet et l’opérateur éligible, le Président de l’IRT prend une décision unilatérale d’engagement.</w:t>
      </w:r>
    </w:p>
    <w:p w14:paraId="7BE887A8" w14:textId="2366EA0F" w:rsidR="00A83351" w:rsidRPr="007B21D9" w:rsidRDefault="00A83351" w:rsidP="00A83351">
      <w:pPr>
        <w:spacing w:before="120"/>
        <w:jc w:val="both"/>
        <w:rPr>
          <w:rFonts w:ascii="Century Gothic" w:hAnsi="Century Gothic"/>
          <w:sz w:val="20"/>
        </w:rPr>
      </w:pPr>
      <w:r w:rsidRPr="007B21D9">
        <w:rPr>
          <w:rFonts w:ascii="Century Gothic" w:hAnsi="Century Gothic"/>
          <w:sz w:val="20"/>
        </w:rPr>
        <w:t xml:space="preserve">Cette décision sera notifiée à l’opérateur inscrit, au plus tard le </w:t>
      </w:r>
      <w:r w:rsidR="00213CA9">
        <w:rPr>
          <w:rFonts w:ascii="Century Gothic" w:hAnsi="Century Gothic"/>
          <w:sz w:val="20"/>
        </w:rPr>
        <w:t>30 juin 2019</w:t>
      </w:r>
      <w:r w:rsidRPr="007B21D9">
        <w:rPr>
          <w:rFonts w:ascii="Century Gothic" w:hAnsi="Century Gothic"/>
          <w:sz w:val="20"/>
        </w:rPr>
        <w:t>.</w:t>
      </w:r>
    </w:p>
    <w:p w14:paraId="22A92E7F" w14:textId="77777777" w:rsidR="00A83351" w:rsidRPr="007B21D9" w:rsidRDefault="00A83351" w:rsidP="00A83351">
      <w:pPr>
        <w:spacing w:before="120"/>
        <w:jc w:val="both"/>
        <w:rPr>
          <w:rFonts w:ascii="Century Gothic" w:hAnsi="Century Gothic"/>
          <w:sz w:val="20"/>
        </w:rPr>
      </w:pPr>
    </w:p>
    <w:p w14:paraId="4F69785B" w14:textId="77777777" w:rsidR="00A83351" w:rsidRPr="007B21D9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7B21D9">
        <w:rPr>
          <w:rFonts w:ascii="Century Gothic" w:hAnsi="Century Gothic"/>
          <w:b/>
          <w:color w:val="auto"/>
          <w:sz w:val="24"/>
          <w:szCs w:val="24"/>
        </w:rPr>
        <w:t xml:space="preserve">ARTICLE 5 : Modalités d’exécution </w:t>
      </w:r>
    </w:p>
    <w:p w14:paraId="1C3B1A12" w14:textId="77777777" w:rsidR="00A83351" w:rsidRPr="007B21D9" w:rsidRDefault="00A83351" w:rsidP="00A83351">
      <w:pPr>
        <w:spacing w:before="120"/>
        <w:jc w:val="both"/>
        <w:rPr>
          <w:rFonts w:ascii="Century Gothic" w:hAnsi="Century Gothic"/>
          <w:b/>
          <w:sz w:val="20"/>
        </w:rPr>
      </w:pPr>
      <w:r w:rsidRPr="007B21D9">
        <w:rPr>
          <w:rFonts w:ascii="Century Gothic" w:hAnsi="Century Gothic"/>
          <w:b/>
          <w:sz w:val="20"/>
        </w:rPr>
        <w:t xml:space="preserve">5.1 Conditions d’octroi des sommes </w:t>
      </w:r>
    </w:p>
    <w:p w14:paraId="2263E44E" w14:textId="77777777" w:rsidR="00A83351" w:rsidRDefault="00A83351" w:rsidP="00A83351">
      <w:pPr>
        <w:tabs>
          <w:tab w:val="left" w:pos="3443"/>
        </w:tabs>
        <w:spacing w:before="120"/>
        <w:jc w:val="both"/>
        <w:rPr>
          <w:rFonts w:ascii="Century Gothic" w:hAnsi="Century Gothic"/>
          <w:sz w:val="20"/>
        </w:rPr>
      </w:pPr>
      <w:r w:rsidRPr="007B21D9">
        <w:rPr>
          <w:rFonts w:ascii="Century Gothic" w:hAnsi="Century Gothic"/>
          <w:sz w:val="20"/>
        </w:rPr>
        <w:t>Afin de faciliter le suivi, chaque participant devra transmettre un état des ventes réalisées et entrant dans le périmètre du dispositif de manière trimestrielle.</w:t>
      </w:r>
    </w:p>
    <w:p w14:paraId="6D3A4DEA" w14:textId="17A0B53F" w:rsidR="00A83351" w:rsidRPr="009861DA" w:rsidRDefault="00A83351" w:rsidP="00A83351">
      <w:pPr>
        <w:tabs>
          <w:tab w:val="left" w:pos="3443"/>
        </w:tabs>
        <w:spacing w:before="120"/>
        <w:jc w:val="both"/>
        <w:rPr>
          <w:rFonts w:ascii="Century Gothic" w:hAnsi="Century Gothic"/>
          <w:b/>
          <w:sz w:val="20"/>
        </w:rPr>
      </w:pPr>
      <w:r w:rsidRPr="009861DA">
        <w:rPr>
          <w:rFonts w:ascii="Century Gothic" w:hAnsi="Century Gothic"/>
          <w:b/>
          <w:sz w:val="20"/>
        </w:rPr>
        <w:t xml:space="preserve">Point de départ du calcul des pax : </w:t>
      </w:r>
      <w:r w:rsidR="00213CA9">
        <w:rPr>
          <w:rFonts w:ascii="Century Gothic" w:hAnsi="Century Gothic"/>
          <w:b/>
          <w:sz w:val="20"/>
        </w:rPr>
        <w:t>1er février 2019.</w:t>
      </w:r>
    </w:p>
    <w:p w14:paraId="70CBF215" w14:textId="7B387C57" w:rsidR="00A83351" w:rsidRPr="00F446AA" w:rsidRDefault="00A83351" w:rsidP="00A83351">
      <w:pPr>
        <w:tabs>
          <w:tab w:val="left" w:pos="3443"/>
        </w:tabs>
        <w:spacing w:before="120"/>
        <w:jc w:val="both"/>
        <w:rPr>
          <w:rFonts w:ascii="Century Gothic" w:hAnsi="Century Gothic"/>
          <w:b/>
          <w:sz w:val="20"/>
        </w:rPr>
      </w:pPr>
      <w:r w:rsidRPr="009861DA">
        <w:rPr>
          <w:rFonts w:ascii="Century Gothic" w:hAnsi="Century Gothic"/>
          <w:b/>
          <w:sz w:val="20"/>
        </w:rPr>
        <w:t xml:space="preserve">Si des PAX sont achetés après le </w:t>
      </w:r>
      <w:r w:rsidR="00213CA9">
        <w:rPr>
          <w:rFonts w:ascii="Century Gothic" w:hAnsi="Century Gothic"/>
          <w:b/>
          <w:sz w:val="20"/>
        </w:rPr>
        <w:t>15 décembre 2019</w:t>
      </w:r>
      <w:r w:rsidRPr="009861DA">
        <w:rPr>
          <w:rFonts w:ascii="Century Gothic" w:hAnsi="Century Gothic"/>
          <w:b/>
          <w:sz w:val="20"/>
        </w:rPr>
        <w:t>, ils ne seront pas pris en compte par l’IRT dans le calcul des primes.</w:t>
      </w:r>
    </w:p>
    <w:p w14:paraId="0ABD4250" w14:textId="77777777" w:rsidR="00213CA9" w:rsidRDefault="00213CA9" w:rsidP="00A83351">
      <w:pPr>
        <w:tabs>
          <w:tab w:val="left" w:pos="3443"/>
        </w:tabs>
        <w:spacing w:before="120"/>
        <w:jc w:val="both"/>
        <w:rPr>
          <w:rFonts w:ascii="Century Gothic" w:hAnsi="Century Gothic"/>
          <w:b/>
          <w:sz w:val="20"/>
        </w:rPr>
      </w:pPr>
    </w:p>
    <w:p w14:paraId="13A266B8" w14:textId="77777777" w:rsidR="001C0B13" w:rsidRDefault="001C0B13" w:rsidP="00A83351">
      <w:pPr>
        <w:tabs>
          <w:tab w:val="left" w:pos="3443"/>
        </w:tabs>
        <w:spacing w:before="120"/>
        <w:jc w:val="both"/>
        <w:rPr>
          <w:rFonts w:ascii="Century Gothic" w:hAnsi="Century Gothic"/>
          <w:b/>
          <w:sz w:val="20"/>
        </w:rPr>
      </w:pPr>
    </w:p>
    <w:p w14:paraId="5B12F501" w14:textId="5B8FEF3D" w:rsidR="00A83351" w:rsidRPr="007B21D9" w:rsidRDefault="00A83351" w:rsidP="00A83351">
      <w:pPr>
        <w:tabs>
          <w:tab w:val="left" w:pos="3443"/>
        </w:tabs>
        <w:spacing w:before="120"/>
        <w:jc w:val="both"/>
        <w:rPr>
          <w:rFonts w:ascii="Century Gothic" w:hAnsi="Century Gothic"/>
          <w:sz w:val="20"/>
        </w:rPr>
      </w:pPr>
      <w:r w:rsidRPr="007B21D9">
        <w:rPr>
          <w:rFonts w:ascii="Century Gothic" w:hAnsi="Century Gothic"/>
          <w:b/>
          <w:sz w:val="20"/>
        </w:rPr>
        <w:t xml:space="preserve">L’état définitif sera arrêté au </w:t>
      </w:r>
      <w:r w:rsidR="00213CA9">
        <w:rPr>
          <w:rFonts w:ascii="Century Gothic" w:hAnsi="Century Gothic"/>
          <w:b/>
          <w:sz w:val="20"/>
        </w:rPr>
        <w:t>31 décembre 2019</w:t>
      </w:r>
      <w:r w:rsidRPr="007B21D9">
        <w:rPr>
          <w:rFonts w:ascii="Century Gothic" w:hAnsi="Century Gothic"/>
          <w:sz w:val="20"/>
        </w:rPr>
        <w:t>. Aussi, à compter de</w:t>
      </w:r>
      <w:r w:rsidR="00213CA9">
        <w:rPr>
          <w:rFonts w:ascii="Century Gothic" w:hAnsi="Century Gothic"/>
          <w:sz w:val="20"/>
        </w:rPr>
        <w:t xml:space="preserve"> cette date et au plus tard le 31</w:t>
      </w:r>
      <w:r w:rsidRPr="007B21D9">
        <w:rPr>
          <w:rFonts w:ascii="Century Gothic" w:hAnsi="Century Gothic"/>
          <w:sz w:val="20"/>
        </w:rPr>
        <w:t xml:space="preserve"> décembre 201</w:t>
      </w:r>
      <w:r w:rsidR="001C0B13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sz w:val="20"/>
        </w:rPr>
        <w:t xml:space="preserve"> 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chaque TO transmettra à l’IRT les éléments suivants :  </w:t>
      </w:r>
    </w:p>
    <w:p w14:paraId="014E1E6E" w14:textId="5046F242" w:rsidR="00A83351" w:rsidRPr="007B21D9" w:rsidRDefault="00A83351" w:rsidP="00A83351">
      <w:pPr>
        <w:pStyle w:val="Paragraphedeliste"/>
        <w:numPr>
          <w:ilvl w:val="0"/>
          <w:numId w:val="3"/>
        </w:num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jc w:val="both"/>
        <w:rPr>
          <w:rFonts w:ascii="Century Gothic" w:hAnsi="Century Gothic"/>
          <w:sz w:val="20"/>
        </w:rPr>
      </w:pPr>
      <w:r w:rsidRPr="007B21D9">
        <w:rPr>
          <w:rFonts w:ascii="Century Gothic" w:eastAsiaTheme="minorEastAsia" w:hAnsi="Century Gothic" w:cstheme="minorBidi"/>
          <w:b/>
          <w:kern w:val="24"/>
          <w:sz w:val="20"/>
        </w:rPr>
        <w:t>un export depuis son système de réservation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 des départs enregistrés entre le 1</w:t>
      </w:r>
      <w:r w:rsidRPr="007B21D9">
        <w:rPr>
          <w:rFonts w:ascii="Century Gothic" w:eastAsiaTheme="minorEastAsia" w:hAnsi="Century Gothic" w:cstheme="minorBidi"/>
          <w:kern w:val="24"/>
          <w:position w:val="7"/>
          <w:sz w:val="20"/>
          <w:vertAlign w:val="superscript"/>
        </w:rPr>
        <w:t>er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 </w:t>
      </w:r>
      <w:r w:rsidR="00213CA9">
        <w:rPr>
          <w:rFonts w:ascii="Century Gothic" w:eastAsiaTheme="minorEastAsia" w:hAnsi="Century Gothic" w:cstheme="minorBidi"/>
          <w:kern w:val="24"/>
          <w:sz w:val="20"/>
        </w:rPr>
        <w:t>février  le  15</w:t>
      </w:r>
      <w:r>
        <w:rPr>
          <w:rFonts w:ascii="Century Gothic" w:eastAsiaTheme="minorEastAsia" w:hAnsi="Century Gothic" w:cstheme="minorBidi"/>
          <w:kern w:val="24"/>
          <w:sz w:val="20"/>
        </w:rPr>
        <w:t xml:space="preserve"> </w:t>
      </w:r>
      <w:r w:rsidR="00213CA9">
        <w:rPr>
          <w:rFonts w:ascii="Century Gothic" w:eastAsiaTheme="minorEastAsia" w:hAnsi="Century Gothic" w:cstheme="minorBidi"/>
          <w:kern w:val="24"/>
          <w:sz w:val="20"/>
        </w:rPr>
        <w:t>décembre 2019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 qui devra mentionner le numéro de dossier client / dates départ et retour clients / nombre de clients (pax),</w:t>
      </w:r>
    </w:p>
    <w:p w14:paraId="2CF20720" w14:textId="77777777" w:rsidR="00A83351" w:rsidRPr="007B21D9" w:rsidRDefault="00A83351" w:rsidP="00A83351">
      <w:pPr>
        <w:pStyle w:val="Paragraphedeliste"/>
        <w:numPr>
          <w:ilvl w:val="0"/>
          <w:numId w:val="3"/>
        </w:num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spacing w:before="120"/>
        <w:ind w:left="714" w:hanging="357"/>
        <w:jc w:val="both"/>
        <w:rPr>
          <w:rFonts w:ascii="Century Gothic" w:hAnsi="Century Gothic"/>
          <w:sz w:val="20"/>
        </w:rPr>
      </w:pP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En fonction du nombre de pax vendus sur la période </w:t>
      </w:r>
      <w:r w:rsidRPr="0072334F">
        <w:rPr>
          <w:rFonts w:ascii="Century Gothic" w:eastAsiaTheme="minorEastAsia" w:hAnsi="Century Gothic" w:cstheme="minorBidi"/>
          <w:kern w:val="24"/>
          <w:sz w:val="20"/>
        </w:rPr>
        <w:t xml:space="preserve">concernée, </w:t>
      </w:r>
      <w:r w:rsidRPr="0072334F">
        <w:rPr>
          <w:rFonts w:ascii="Century Gothic" w:eastAsiaTheme="minorEastAsia" w:hAnsi="Century Gothic" w:cstheme="minorBidi"/>
          <w:b/>
          <w:kern w:val="24"/>
          <w:sz w:val="20"/>
        </w:rPr>
        <w:t xml:space="preserve">une </w:t>
      </w:r>
      <w:r>
        <w:rPr>
          <w:rFonts w:ascii="Century Gothic" w:eastAsiaTheme="minorEastAsia" w:hAnsi="Century Gothic" w:cstheme="minorBidi"/>
          <w:b/>
          <w:kern w:val="24"/>
          <w:sz w:val="20"/>
        </w:rPr>
        <w:t xml:space="preserve">facture </w:t>
      </w:r>
      <w:r w:rsidRPr="0072334F">
        <w:rPr>
          <w:rFonts w:ascii="Century Gothic" w:eastAsiaTheme="minorEastAsia" w:hAnsi="Century Gothic" w:cstheme="minorBidi"/>
          <w:kern w:val="24"/>
          <w:sz w:val="20"/>
        </w:rPr>
        <w:t>correspondant au montant de la prime auquel il prétend (cf. annexes 3),</w:t>
      </w:r>
    </w:p>
    <w:p w14:paraId="5C08340F" w14:textId="36F7C7D4" w:rsidR="00A83351" w:rsidRPr="007B21D9" w:rsidRDefault="00A83351" w:rsidP="00A83351">
      <w:pPr>
        <w:pStyle w:val="Paragraphedeliste"/>
        <w:numPr>
          <w:ilvl w:val="0"/>
          <w:numId w:val="3"/>
        </w:num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jc w:val="both"/>
        <w:rPr>
          <w:rFonts w:ascii="Century Gothic" w:hAnsi="Century Gothic"/>
          <w:sz w:val="20"/>
        </w:rPr>
      </w:pPr>
      <w:r w:rsidRPr="007B21D9">
        <w:rPr>
          <w:rFonts w:ascii="Century Gothic" w:eastAsiaTheme="minorEastAsia" w:hAnsi="Century Gothic" w:cstheme="minorBidi"/>
          <w:b/>
          <w:kern w:val="24"/>
          <w:sz w:val="20"/>
        </w:rPr>
        <w:t>L’état dé</w:t>
      </w:r>
      <w:r w:rsidR="00213CA9">
        <w:rPr>
          <w:rFonts w:ascii="Century Gothic" w:eastAsiaTheme="minorEastAsia" w:hAnsi="Century Gothic" w:cstheme="minorBidi"/>
          <w:b/>
          <w:kern w:val="24"/>
          <w:sz w:val="20"/>
        </w:rPr>
        <w:t>claratif 2019</w:t>
      </w:r>
      <w:r w:rsidRPr="007B21D9">
        <w:rPr>
          <w:rFonts w:ascii="Century Gothic" w:eastAsiaTheme="minorEastAsia" w:hAnsi="Century Gothic" w:cstheme="minorBidi"/>
          <w:b/>
          <w:kern w:val="24"/>
          <w:sz w:val="20"/>
        </w:rPr>
        <w:t xml:space="preserve"> mis à jour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 des</w:t>
      </w:r>
      <w:r>
        <w:rPr>
          <w:rFonts w:ascii="Century Gothic" w:eastAsiaTheme="minorEastAsia" w:hAnsi="Century Gothic" w:cstheme="minorBidi"/>
          <w:kern w:val="24"/>
          <w:sz w:val="20"/>
        </w:rPr>
        <w:t xml:space="preserve"> ventes de l’année 201</w:t>
      </w:r>
      <w:r w:rsidR="00596846">
        <w:rPr>
          <w:rFonts w:ascii="Century Gothic" w:eastAsiaTheme="minorEastAsia" w:hAnsi="Century Gothic" w:cstheme="minorBidi"/>
          <w:kern w:val="24"/>
          <w:sz w:val="20"/>
        </w:rPr>
        <w:t>9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. </w:t>
      </w:r>
    </w:p>
    <w:p w14:paraId="41C21C32" w14:textId="77777777" w:rsidR="00A83351" w:rsidRPr="007B21D9" w:rsidRDefault="00A83351" w:rsidP="00A83351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contextualSpacing/>
        <w:jc w:val="both"/>
        <w:rPr>
          <w:rFonts w:ascii="Century Gothic" w:eastAsiaTheme="minorEastAsia" w:hAnsi="Century Gothic" w:cstheme="minorBidi"/>
          <w:kern w:val="24"/>
          <w:sz w:val="20"/>
        </w:rPr>
      </w:pPr>
    </w:p>
    <w:p w14:paraId="4EC08C2B" w14:textId="1E13F873" w:rsidR="00A83351" w:rsidRPr="007B21D9" w:rsidRDefault="00A83351" w:rsidP="00A83351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contextualSpacing/>
        <w:jc w:val="both"/>
        <w:rPr>
          <w:rFonts w:ascii="Century Gothic" w:eastAsiaTheme="minorEastAsia" w:hAnsi="Century Gothic" w:cstheme="minorBidi"/>
          <w:kern w:val="24"/>
          <w:sz w:val="20"/>
        </w:rPr>
      </w:pPr>
      <w:r w:rsidRPr="007B21D9">
        <w:rPr>
          <w:rFonts w:ascii="Century Gothic" w:eastAsiaTheme="minorEastAsia" w:hAnsi="Century Gothic" w:cstheme="minorBidi"/>
          <w:b/>
          <w:kern w:val="24"/>
          <w:sz w:val="20"/>
        </w:rPr>
        <w:t>Date de limite de réception des documents par l’IRT</w:t>
      </w:r>
      <w:r>
        <w:rPr>
          <w:rFonts w:ascii="Century Gothic" w:eastAsiaTheme="minorEastAsia" w:hAnsi="Century Gothic" w:cstheme="minorBidi"/>
          <w:kern w:val="24"/>
          <w:sz w:val="20"/>
        </w:rPr>
        <w:t xml:space="preserve"> : </w:t>
      </w:r>
      <w:r w:rsidR="00213CA9">
        <w:rPr>
          <w:rFonts w:ascii="Century Gothic" w:eastAsiaTheme="minorEastAsia" w:hAnsi="Century Gothic" w:cstheme="minorBidi"/>
          <w:b/>
          <w:kern w:val="24"/>
          <w:sz w:val="20"/>
          <w:u w:val="single"/>
        </w:rPr>
        <w:t>31</w:t>
      </w:r>
      <w:r w:rsidRPr="00354A7F">
        <w:rPr>
          <w:rFonts w:ascii="Century Gothic" w:eastAsiaTheme="minorEastAsia" w:hAnsi="Century Gothic" w:cstheme="minorBidi"/>
          <w:b/>
          <w:kern w:val="24"/>
          <w:sz w:val="20"/>
          <w:u w:val="single"/>
        </w:rPr>
        <w:t xml:space="preserve"> décembre 201</w:t>
      </w:r>
      <w:r w:rsidR="00213CA9">
        <w:rPr>
          <w:rFonts w:ascii="Century Gothic" w:eastAsiaTheme="minorEastAsia" w:hAnsi="Century Gothic" w:cstheme="minorBidi"/>
          <w:b/>
          <w:kern w:val="24"/>
          <w:sz w:val="20"/>
          <w:u w:val="single"/>
        </w:rPr>
        <w:t>9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>.</w:t>
      </w:r>
    </w:p>
    <w:p w14:paraId="4BCE3DF0" w14:textId="77777777" w:rsidR="00A83351" w:rsidRPr="007B21D9" w:rsidRDefault="00A83351" w:rsidP="00A83351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spacing w:before="120"/>
        <w:contextualSpacing/>
        <w:jc w:val="both"/>
        <w:rPr>
          <w:rFonts w:ascii="Century Gothic" w:eastAsiaTheme="minorEastAsia" w:hAnsi="Century Gothic" w:cstheme="minorBidi"/>
          <w:kern w:val="24"/>
          <w:sz w:val="20"/>
        </w:rPr>
      </w:pPr>
      <w:r w:rsidRPr="007B21D9">
        <w:rPr>
          <w:rFonts w:ascii="Century Gothic" w:eastAsiaTheme="minorEastAsia" w:hAnsi="Century Gothic" w:cstheme="minorBidi"/>
          <w:b/>
          <w:kern w:val="24"/>
          <w:sz w:val="20"/>
        </w:rPr>
        <w:t>Ces documents sont à envoyer par courriel</w:t>
      </w:r>
      <w:r w:rsidRPr="007B21D9">
        <w:rPr>
          <w:rFonts w:ascii="Century Gothic" w:eastAsiaTheme="minorEastAsia" w:hAnsi="Century Gothic" w:cstheme="minorBidi"/>
          <w:kern w:val="24"/>
          <w:sz w:val="20"/>
        </w:rPr>
        <w:t xml:space="preserve"> au référent marché concerné (cf. article 5.2). </w:t>
      </w:r>
    </w:p>
    <w:p w14:paraId="422B04BE" w14:textId="77777777" w:rsidR="00A83351" w:rsidRPr="007B21D9" w:rsidRDefault="00A83351" w:rsidP="00A83351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spacing w:before="120"/>
        <w:contextualSpacing/>
        <w:jc w:val="both"/>
        <w:rPr>
          <w:rFonts w:ascii="Century Gothic" w:eastAsiaTheme="minorEastAsia" w:hAnsi="Century Gothic" w:cstheme="minorBidi"/>
          <w:kern w:val="24"/>
          <w:sz w:val="20"/>
        </w:rPr>
      </w:pPr>
      <w:r w:rsidRPr="007B21D9">
        <w:rPr>
          <w:rFonts w:ascii="Century Gothic" w:eastAsiaTheme="minorEastAsia" w:hAnsi="Century Gothic" w:cstheme="minorBidi"/>
          <w:kern w:val="24"/>
          <w:sz w:val="20"/>
        </w:rPr>
        <w:t>Après vérifications et validation, la demande sera transmise au service financier de l’IRT qui procèdera au versement.</w:t>
      </w:r>
    </w:p>
    <w:p w14:paraId="0761BDBA" w14:textId="77777777" w:rsidR="00A83351" w:rsidRPr="007B21D9" w:rsidRDefault="00A83351" w:rsidP="00A83351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contextualSpacing/>
        <w:jc w:val="both"/>
        <w:rPr>
          <w:rFonts w:ascii="Century Gothic" w:eastAsiaTheme="minorEastAsia" w:hAnsi="Century Gothic" w:cstheme="minorBidi"/>
          <w:color w:val="2E74B5" w:themeColor="accent1" w:themeShade="BF"/>
          <w:kern w:val="24"/>
          <w:sz w:val="20"/>
        </w:rPr>
      </w:pPr>
      <w:r w:rsidRPr="007B21D9">
        <w:rPr>
          <w:rFonts w:ascii="Century Gothic" w:eastAsiaTheme="minorEastAsia" w:hAnsi="Century Gothic" w:cstheme="minorBidi"/>
          <w:color w:val="2E74B5" w:themeColor="accent1" w:themeShade="BF"/>
          <w:kern w:val="24"/>
          <w:sz w:val="20"/>
        </w:rPr>
        <w:t xml:space="preserve"> </w:t>
      </w:r>
    </w:p>
    <w:p w14:paraId="4BB82DBC" w14:textId="77777777" w:rsidR="00A83351" w:rsidRPr="007B21D9" w:rsidRDefault="00A83351" w:rsidP="00A83351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contextualSpacing/>
        <w:jc w:val="both"/>
        <w:rPr>
          <w:rFonts w:ascii="Century Gothic" w:hAnsi="Century Gothic"/>
          <w:b/>
          <w:sz w:val="20"/>
        </w:rPr>
      </w:pPr>
      <w:proofErr w:type="gramStart"/>
      <w:r w:rsidRPr="007B21D9">
        <w:rPr>
          <w:rFonts w:ascii="Century Gothic" w:hAnsi="Century Gothic"/>
          <w:b/>
          <w:sz w:val="20"/>
        </w:rPr>
        <w:t>5.2  Echanges</w:t>
      </w:r>
      <w:proofErr w:type="gramEnd"/>
      <w:r w:rsidRPr="007B21D9">
        <w:rPr>
          <w:rFonts w:ascii="Century Gothic" w:hAnsi="Century Gothic"/>
          <w:b/>
          <w:sz w:val="20"/>
        </w:rPr>
        <w:t xml:space="preserve"> TO/IRT en cours d’année </w:t>
      </w:r>
    </w:p>
    <w:p w14:paraId="73BF62BB" w14:textId="77777777" w:rsidR="00A83351" w:rsidRPr="007B21D9" w:rsidRDefault="00A83351" w:rsidP="00A83351">
      <w:pPr>
        <w:tabs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spacing w:before="53"/>
        <w:rPr>
          <w:rFonts w:ascii="Century Gothic" w:eastAsiaTheme="minorEastAsia" w:hAnsi="Century Gothic" w:cstheme="minorBidi"/>
          <w:i/>
          <w:kern w:val="24"/>
          <w:sz w:val="20"/>
        </w:rPr>
      </w:pPr>
      <w:r w:rsidRPr="007B21D9">
        <w:rPr>
          <w:rFonts w:ascii="Century Gothic" w:eastAsiaTheme="minorEastAsia" w:hAnsi="Century Gothic" w:cstheme="minorBidi"/>
          <w:i/>
          <w:kern w:val="24"/>
          <w:sz w:val="20"/>
        </w:rPr>
        <w:t xml:space="preserve">Référents marchés à l’IRT pour le dispositif </w:t>
      </w:r>
    </w:p>
    <w:p w14:paraId="5FE3F8CB" w14:textId="77777777" w:rsidR="00BF20AF" w:rsidRPr="00BF20AF" w:rsidRDefault="00A83351" w:rsidP="00BF20AF">
      <w:pPr>
        <w:pStyle w:val="Paragraphedeliste"/>
        <w:numPr>
          <w:ilvl w:val="0"/>
          <w:numId w:val="5"/>
        </w:numPr>
        <w:spacing w:before="120"/>
        <w:ind w:left="567" w:right="-142" w:hanging="283"/>
        <w:rPr>
          <w:rStyle w:val="Lienhypertexte"/>
          <w:rFonts w:ascii="Century Gothic" w:hAnsi="Century Gothic"/>
          <w:color w:val="auto"/>
          <w:sz w:val="20"/>
          <w:u w:val="none"/>
        </w:rPr>
      </w:pPr>
      <w:r w:rsidRPr="004F3CE3">
        <w:rPr>
          <w:rFonts w:ascii="Century Gothic" w:hAnsi="Century Gothic"/>
          <w:b/>
          <w:sz w:val="20"/>
        </w:rPr>
        <w:t xml:space="preserve">Directeur </w:t>
      </w:r>
      <w:r w:rsidR="00213CA9">
        <w:rPr>
          <w:rFonts w:ascii="Century Gothic" w:hAnsi="Century Gothic"/>
          <w:b/>
          <w:sz w:val="20"/>
        </w:rPr>
        <w:t xml:space="preserve">Général de l’IRT par intérim </w:t>
      </w:r>
      <w:r w:rsidRPr="004F3CE3">
        <w:rPr>
          <w:rFonts w:ascii="Century Gothic" w:hAnsi="Century Gothic"/>
          <w:b/>
          <w:sz w:val="20"/>
        </w:rPr>
        <w:t xml:space="preserve">: </w:t>
      </w:r>
      <w:r w:rsidR="00213CA9">
        <w:rPr>
          <w:rFonts w:ascii="Century Gothic" w:hAnsi="Century Gothic"/>
          <w:sz w:val="20"/>
        </w:rPr>
        <w:t>Stéphane ULLIAC</w:t>
      </w:r>
      <w:r>
        <w:rPr>
          <w:rFonts w:ascii="Century Gothic" w:hAnsi="Century Gothic"/>
          <w:sz w:val="20"/>
        </w:rPr>
        <w:t xml:space="preserve"> (</w:t>
      </w:r>
      <w:hyperlink r:id="rId8" w:history="1">
        <w:r w:rsidR="00213CA9" w:rsidRPr="0086436A">
          <w:rPr>
            <w:rStyle w:val="Lienhypertexte"/>
            <w:rFonts w:ascii="Century Gothic" w:hAnsi="Century Gothic"/>
            <w:sz w:val="20"/>
          </w:rPr>
          <w:t>s.ulliac@reunion.fr)</w:t>
        </w:r>
      </w:hyperlink>
    </w:p>
    <w:p w14:paraId="16D03219" w14:textId="56C85EA6" w:rsidR="00BF20AF" w:rsidRPr="00BF20AF" w:rsidRDefault="00BF20AF" w:rsidP="00BF20AF">
      <w:pPr>
        <w:pStyle w:val="Paragraphedeliste"/>
        <w:numPr>
          <w:ilvl w:val="0"/>
          <w:numId w:val="5"/>
        </w:numPr>
        <w:spacing w:before="120"/>
        <w:ind w:left="567" w:right="-142" w:hanging="283"/>
        <w:rPr>
          <w:rFonts w:ascii="Century Gothic" w:hAnsi="Century Gothic"/>
          <w:sz w:val="20"/>
        </w:rPr>
      </w:pPr>
      <w:r w:rsidRPr="00BF20AF">
        <w:rPr>
          <w:rFonts w:ascii="Century Gothic" w:hAnsi="Century Gothic"/>
          <w:b/>
          <w:sz w:val="20"/>
        </w:rPr>
        <w:t xml:space="preserve">Responsable Marchés Océan Indien &amp; AFS : </w:t>
      </w:r>
      <w:r w:rsidRPr="00BF20AF">
        <w:rPr>
          <w:rFonts w:ascii="Century Gothic" w:hAnsi="Century Gothic"/>
          <w:sz w:val="20"/>
        </w:rPr>
        <w:t>Aurore LORION</w:t>
      </w:r>
      <w:r w:rsidRPr="00BF20AF">
        <w:rPr>
          <w:rFonts w:ascii="Century Gothic" w:hAnsi="Century Gothic"/>
          <w:b/>
          <w:sz w:val="20"/>
        </w:rPr>
        <w:t xml:space="preserve"> </w:t>
      </w:r>
      <w:r w:rsidRPr="00BF20AF">
        <w:rPr>
          <w:rStyle w:val="Lienhypertexte"/>
          <w:rFonts w:ascii="Century Gothic" w:hAnsi="Century Gothic"/>
          <w:sz w:val="20"/>
        </w:rPr>
        <w:t>a.lorion@reunion.fr</w:t>
      </w:r>
      <w:r w:rsidRPr="00BF20AF">
        <w:rPr>
          <w:rFonts w:ascii="Century Gothic" w:hAnsi="Century Gothic"/>
          <w:sz w:val="20"/>
        </w:rPr>
        <w:t xml:space="preserve">  </w:t>
      </w:r>
    </w:p>
    <w:p w14:paraId="476B38C2" w14:textId="77777777" w:rsidR="00A83351" w:rsidRPr="008251F3" w:rsidRDefault="00A83351" w:rsidP="00A83351">
      <w:pPr>
        <w:pStyle w:val="Paragraphedeliste"/>
        <w:numPr>
          <w:ilvl w:val="0"/>
          <w:numId w:val="5"/>
        </w:numPr>
        <w:spacing w:before="120"/>
        <w:ind w:left="567" w:right="-142" w:hanging="283"/>
        <w:rPr>
          <w:rFonts w:ascii="Century Gothic" w:hAnsi="Century Gothic"/>
          <w:sz w:val="20"/>
        </w:rPr>
      </w:pPr>
      <w:r w:rsidRPr="008251F3">
        <w:rPr>
          <w:rFonts w:ascii="Century Gothic" w:eastAsiaTheme="minorEastAsia" w:hAnsi="Century Gothic" w:cstheme="minorBidi"/>
          <w:i/>
          <w:kern w:val="24"/>
          <w:sz w:val="20"/>
        </w:rPr>
        <w:t>Référent TO pour le dispositif</w:t>
      </w:r>
    </w:p>
    <w:p w14:paraId="776D44C3" w14:textId="77777777" w:rsidR="00A83351" w:rsidRPr="008251F3" w:rsidRDefault="00A83351" w:rsidP="00A83351">
      <w:pPr>
        <w:pStyle w:val="Paragraphedeliste"/>
        <w:numPr>
          <w:ilvl w:val="0"/>
          <w:numId w:val="5"/>
        </w:numPr>
        <w:spacing w:before="120"/>
        <w:ind w:left="567" w:right="-142" w:hanging="283"/>
        <w:rPr>
          <w:rFonts w:ascii="Century Gothic" w:hAnsi="Century Gothic"/>
          <w:sz w:val="20"/>
        </w:rPr>
      </w:pPr>
      <w:r w:rsidRPr="008251F3">
        <w:rPr>
          <w:rFonts w:ascii="Century Gothic" w:eastAsiaTheme="minorEastAsia" w:hAnsi="Century Gothic" w:cstheme="minorBidi"/>
          <w:kern w:val="24"/>
          <w:sz w:val="20"/>
        </w:rPr>
        <w:t>Le TO désignera un référent pour le dispositif qui sera en lien avec ceux de l’IRT tout au long de l’année.</w:t>
      </w:r>
    </w:p>
    <w:p w14:paraId="35F3E853" w14:textId="77777777" w:rsidR="00A83351" w:rsidRPr="001178B6" w:rsidRDefault="00A83351" w:rsidP="00A83351">
      <w:pPr>
        <w:tabs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08"/>
          <w:tab w:val="left" w:pos="11315"/>
          <w:tab w:val="left" w:pos="12023"/>
          <w:tab w:val="left" w:pos="12730"/>
          <w:tab w:val="left" w:pos="13438"/>
          <w:tab w:val="left" w:pos="14145"/>
        </w:tabs>
        <w:spacing w:before="120"/>
        <w:jc w:val="both"/>
        <w:rPr>
          <w:rFonts w:ascii="Century Gothic" w:hAnsi="Century Gothic"/>
          <w:sz w:val="20"/>
        </w:rPr>
      </w:pPr>
      <w:r w:rsidRPr="001178B6">
        <w:rPr>
          <w:rFonts w:ascii="Century Gothic" w:eastAsiaTheme="minorEastAsia" w:hAnsi="Century Gothic" w:cstheme="minorBidi"/>
          <w:kern w:val="24"/>
          <w:sz w:val="20"/>
        </w:rPr>
        <w:t xml:space="preserve">Les </w:t>
      </w:r>
      <w:r>
        <w:rPr>
          <w:rFonts w:ascii="Century Gothic" w:eastAsiaTheme="minorEastAsia" w:hAnsi="Century Gothic" w:cstheme="minorBidi"/>
          <w:kern w:val="24"/>
          <w:sz w:val="20"/>
        </w:rPr>
        <w:t>référents I</w:t>
      </w:r>
      <w:r w:rsidRPr="001178B6">
        <w:rPr>
          <w:rFonts w:ascii="Century Gothic" w:eastAsiaTheme="minorEastAsia" w:hAnsi="Century Gothic" w:cstheme="minorBidi"/>
          <w:kern w:val="24"/>
          <w:sz w:val="20"/>
        </w:rPr>
        <w:t xml:space="preserve">RT et TO se rencontreront à deux reprises minimum en cours d’année afin d’échanger sur le dispositif et de faire un point sur l’état des données chiffrés (évolution des ventes). </w:t>
      </w:r>
    </w:p>
    <w:p w14:paraId="692478D0" w14:textId="77777777" w:rsidR="00A8335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373BBA66" w14:textId="77777777" w:rsidR="00A83351" w:rsidRPr="00A41811" w:rsidRDefault="00A83351" w:rsidP="00A83351">
      <w:pPr>
        <w:pStyle w:val="Titre6"/>
        <w:pBdr>
          <w:bottom w:val="single" w:sz="4" w:space="1" w:color="auto"/>
        </w:pBdr>
        <w:ind w:right="-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ARTICLE </w:t>
      </w:r>
      <w:r>
        <w:rPr>
          <w:rFonts w:ascii="Century Gothic" w:hAnsi="Century Gothic"/>
          <w:b/>
          <w:color w:val="auto"/>
          <w:sz w:val="24"/>
          <w:szCs w:val="24"/>
        </w:rPr>
        <w:t>6</w:t>
      </w: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 : </w:t>
      </w:r>
      <w:r>
        <w:rPr>
          <w:rFonts w:ascii="Century Gothic" w:hAnsi="Century Gothic"/>
          <w:b/>
          <w:color w:val="auto"/>
          <w:sz w:val="24"/>
          <w:szCs w:val="24"/>
        </w:rPr>
        <w:t>Dépôt</w:t>
      </w:r>
      <w:r w:rsidRPr="00A41811">
        <w:rPr>
          <w:rFonts w:ascii="Century Gothic" w:hAnsi="Century Gothic"/>
          <w:b/>
          <w:color w:val="auto"/>
          <w:sz w:val="24"/>
          <w:szCs w:val="24"/>
        </w:rPr>
        <w:t xml:space="preserve"> des dossiers </w:t>
      </w:r>
      <w:r>
        <w:rPr>
          <w:rFonts w:ascii="Century Gothic" w:hAnsi="Century Gothic"/>
          <w:b/>
          <w:color w:val="auto"/>
          <w:sz w:val="24"/>
          <w:szCs w:val="24"/>
        </w:rPr>
        <w:t>et informations complémentaires</w:t>
      </w:r>
    </w:p>
    <w:p w14:paraId="096AB80B" w14:textId="4806CA0E" w:rsidR="00A83351" w:rsidRPr="006D1FD3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Les dossiers sont à </w:t>
      </w:r>
      <w:r w:rsidRPr="006D1FD3">
        <w:rPr>
          <w:rFonts w:ascii="Century Gothic" w:hAnsi="Century Gothic"/>
          <w:sz w:val="20"/>
        </w:rPr>
        <w:t xml:space="preserve">adresser avant le </w:t>
      </w:r>
      <w:r w:rsidR="00213CA9">
        <w:rPr>
          <w:rFonts w:ascii="Century Gothic" w:hAnsi="Century Gothic"/>
          <w:sz w:val="20"/>
        </w:rPr>
        <w:t>30 mai 2019</w:t>
      </w:r>
      <w:r w:rsidRPr="006D1FD3">
        <w:rPr>
          <w:rFonts w:ascii="Century Gothic" w:hAnsi="Century Gothic"/>
          <w:sz w:val="20"/>
        </w:rPr>
        <w:t xml:space="preserve"> à minuit (heure de la Réunion) aux adresses suivantes : </w:t>
      </w:r>
    </w:p>
    <w:p w14:paraId="66F117F3" w14:textId="77777777" w:rsidR="00596846" w:rsidRPr="008D19AA" w:rsidRDefault="00596846" w:rsidP="00596846">
      <w:pPr>
        <w:spacing w:before="120"/>
        <w:ind w:left="710" w:firstLine="708"/>
        <w:jc w:val="both"/>
        <w:rPr>
          <w:rFonts w:ascii="Century Gothic" w:hAnsi="Century Gothic"/>
          <w:b/>
          <w:sz w:val="20"/>
        </w:rPr>
      </w:pPr>
      <w:r w:rsidRPr="00473D12">
        <w:rPr>
          <w:rFonts w:ascii="Century Gothic" w:hAnsi="Century Gothic"/>
          <w:sz w:val="20"/>
        </w:rPr>
        <w:t xml:space="preserve">Comité </w:t>
      </w:r>
      <w:r w:rsidRPr="008D19AA">
        <w:rPr>
          <w:rFonts w:ascii="Century Gothic" w:hAnsi="Century Gothic"/>
          <w:sz w:val="20"/>
        </w:rPr>
        <w:t>Régional de Tourisme</w:t>
      </w:r>
      <w:r w:rsidRPr="008D19AA">
        <w:rPr>
          <w:rFonts w:ascii="Century Gothic" w:hAnsi="Century Gothic"/>
          <w:b/>
          <w:sz w:val="20"/>
        </w:rPr>
        <w:t xml:space="preserve"> </w:t>
      </w:r>
    </w:p>
    <w:p w14:paraId="4A30BC7D" w14:textId="77777777" w:rsidR="00596846" w:rsidRDefault="00596846" w:rsidP="00596846">
      <w:pPr>
        <w:ind w:left="709" w:firstLine="709"/>
        <w:jc w:val="both"/>
        <w:rPr>
          <w:rFonts w:ascii="Century Gothic" w:hAnsi="Century Gothic"/>
          <w:b/>
          <w:sz w:val="20"/>
        </w:rPr>
      </w:pPr>
      <w:r w:rsidRPr="00473D12">
        <w:rPr>
          <w:rFonts w:ascii="Century Gothic" w:hAnsi="Century Gothic"/>
          <w:b/>
          <w:sz w:val="20"/>
        </w:rPr>
        <w:t>ILE DE LA REUNION TOURISME</w:t>
      </w:r>
    </w:p>
    <w:p w14:paraId="4ABBE0E0" w14:textId="77777777" w:rsidR="00596846" w:rsidRDefault="00596846" w:rsidP="00596846">
      <w:pPr>
        <w:ind w:left="709" w:firstLine="709"/>
        <w:jc w:val="both"/>
        <w:rPr>
          <w:rFonts w:ascii="Century Gothic" w:hAnsi="Century Gothic"/>
          <w:sz w:val="20"/>
        </w:rPr>
      </w:pPr>
      <w:r w:rsidRPr="008D19AA">
        <w:rPr>
          <w:rFonts w:ascii="Century Gothic" w:hAnsi="Century Gothic"/>
          <w:sz w:val="20"/>
        </w:rPr>
        <w:t>4 rue Jules Thirel</w:t>
      </w:r>
    </w:p>
    <w:p w14:paraId="24AEC692" w14:textId="77777777" w:rsidR="00596846" w:rsidRDefault="00596846" w:rsidP="00596846">
      <w:pPr>
        <w:ind w:left="709" w:firstLine="709"/>
        <w:jc w:val="both"/>
        <w:rPr>
          <w:rFonts w:ascii="Century Gothic" w:hAnsi="Century Gothic"/>
          <w:sz w:val="20"/>
        </w:rPr>
      </w:pPr>
      <w:r w:rsidRPr="008D19AA">
        <w:rPr>
          <w:rFonts w:ascii="Century Gothic" w:hAnsi="Century Gothic"/>
          <w:sz w:val="20"/>
        </w:rPr>
        <w:t xml:space="preserve">Immeuble La Balance </w:t>
      </w:r>
      <w:r>
        <w:rPr>
          <w:rFonts w:ascii="Century Gothic" w:hAnsi="Century Gothic"/>
          <w:sz w:val="20"/>
        </w:rPr>
        <w:t xml:space="preserve">- </w:t>
      </w:r>
      <w:r w:rsidRPr="008D19AA">
        <w:rPr>
          <w:rFonts w:ascii="Century Gothic" w:hAnsi="Century Gothic"/>
          <w:sz w:val="20"/>
        </w:rPr>
        <w:t xml:space="preserve">Bâtiment B </w:t>
      </w:r>
    </w:p>
    <w:p w14:paraId="600496AB" w14:textId="77777777" w:rsidR="00596846" w:rsidRDefault="00596846" w:rsidP="00596846">
      <w:pPr>
        <w:ind w:left="709" w:firstLine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CS 61087 </w:t>
      </w:r>
    </w:p>
    <w:p w14:paraId="2B1510D7" w14:textId="77777777" w:rsidR="00596846" w:rsidRDefault="00596846" w:rsidP="00596846">
      <w:pPr>
        <w:ind w:left="709" w:firstLine="709"/>
        <w:jc w:val="both"/>
        <w:rPr>
          <w:rFonts w:ascii="Century Gothic" w:hAnsi="Century Gothic"/>
          <w:sz w:val="20"/>
        </w:rPr>
      </w:pPr>
      <w:r w:rsidRPr="008D19AA">
        <w:rPr>
          <w:rFonts w:ascii="Century Gothic" w:hAnsi="Century Gothic"/>
          <w:sz w:val="20"/>
        </w:rPr>
        <w:t>97</w:t>
      </w:r>
      <w:r>
        <w:rPr>
          <w:rFonts w:ascii="Century Gothic" w:hAnsi="Century Gothic"/>
          <w:sz w:val="20"/>
        </w:rPr>
        <w:t>864</w:t>
      </w:r>
      <w:r w:rsidRPr="008D19AA">
        <w:rPr>
          <w:rFonts w:ascii="Century Gothic" w:hAnsi="Century Gothic"/>
          <w:sz w:val="20"/>
        </w:rPr>
        <w:t xml:space="preserve"> Saint-Paul </w:t>
      </w:r>
      <w:r>
        <w:rPr>
          <w:rFonts w:ascii="Century Gothic" w:hAnsi="Century Gothic"/>
          <w:sz w:val="20"/>
        </w:rPr>
        <w:t>Cedex</w:t>
      </w:r>
      <w:r w:rsidRPr="008D19AA">
        <w:rPr>
          <w:rFonts w:ascii="Century Gothic" w:hAnsi="Century Gothic"/>
          <w:sz w:val="20"/>
        </w:rPr>
        <w:t>     </w:t>
      </w:r>
    </w:p>
    <w:p w14:paraId="76372EB8" w14:textId="77777777" w:rsidR="00596846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 w:rsidRPr="006D1FD3">
        <w:rPr>
          <w:rFonts w:ascii="Century Gothic" w:hAnsi="Century Gothic"/>
          <w:sz w:val="20"/>
        </w:rPr>
        <w:tab/>
      </w:r>
      <w:r w:rsidRPr="006D1FD3">
        <w:rPr>
          <w:rFonts w:ascii="Century Gothic" w:hAnsi="Century Gothic"/>
          <w:sz w:val="20"/>
        </w:rPr>
        <w:tab/>
      </w:r>
    </w:p>
    <w:p w14:paraId="6B6A9314" w14:textId="6233BF1A" w:rsidR="00A83351" w:rsidRPr="006D1FD3" w:rsidRDefault="00A83351" w:rsidP="00A83351">
      <w:pPr>
        <w:spacing w:before="120" w:after="200"/>
        <w:jc w:val="both"/>
        <w:rPr>
          <w:rFonts w:ascii="Century Gothic" w:hAnsi="Century Gothic"/>
          <w:b/>
          <w:sz w:val="20"/>
        </w:rPr>
      </w:pPr>
      <w:bookmarkStart w:id="3" w:name="_GoBack"/>
      <w:bookmarkEnd w:id="3"/>
      <w:proofErr w:type="gramStart"/>
      <w:r w:rsidRPr="006D1FD3">
        <w:rPr>
          <w:rFonts w:ascii="Century Gothic" w:hAnsi="Century Gothic"/>
          <w:b/>
          <w:sz w:val="20"/>
        </w:rPr>
        <w:t>Ou</w:t>
      </w:r>
      <w:proofErr w:type="gramEnd"/>
    </w:p>
    <w:p w14:paraId="72994918" w14:textId="77777777" w:rsidR="00A83351" w:rsidRPr="006D1FD3" w:rsidRDefault="00A83351" w:rsidP="00A83351">
      <w:pPr>
        <w:tabs>
          <w:tab w:val="left" w:pos="5103"/>
        </w:tabs>
        <w:ind w:firstLine="1418"/>
        <w:rPr>
          <w:rFonts w:ascii="Century Gothic" w:hAnsi="Century Gothic"/>
          <w:sz w:val="20"/>
        </w:rPr>
      </w:pPr>
      <w:r w:rsidRPr="006D1FD3">
        <w:rPr>
          <w:rFonts w:ascii="Century Gothic" w:hAnsi="Century Gothic"/>
          <w:b/>
          <w:sz w:val="20"/>
        </w:rPr>
        <w:t>Pour l’ensemble des demandes :</w:t>
      </w:r>
      <w:r w:rsidRPr="006D1FD3">
        <w:rPr>
          <w:rFonts w:ascii="Century Gothic" w:hAnsi="Century Gothic"/>
          <w:sz w:val="20"/>
        </w:rPr>
        <w:t xml:space="preserve"> </w:t>
      </w:r>
    </w:p>
    <w:p w14:paraId="6190764B" w14:textId="5FB4F9B1" w:rsidR="00A83351" w:rsidRPr="00A42AD1" w:rsidRDefault="00A42AD1" w:rsidP="00A42AD1">
      <w:pPr>
        <w:ind w:left="708" w:firstLine="708"/>
        <w:rPr>
          <w:b/>
          <w:sz w:val="20"/>
        </w:rPr>
      </w:pPr>
      <w:r>
        <w:rPr>
          <w:rFonts w:ascii="Century Gothic" w:hAnsi="Century Gothic"/>
          <w:b/>
          <w:sz w:val="20"/>
        </w:rPr>
        <w:t>Aurore LORION</w:t>
      </w:r>
      <w:r w:rsidR="00A83351" w:rsidRPr="00A42AD1">
        <w:rPr>
          <w:rFonts w:ascii="Century Gothic" w:hAnsi="Century Gothic"/>
          <w:b/>
          <w:sz w:val="20"/>
        </w:rPr>
        <w:t> : </w:t>
      </w:r>
      <w:hyperlink r:id="rId9" w:history="1">
        <w:r w:rsidR="003F24A7" w:rsidRPr="007B16D2">
          <w:rPr>
            <w:rStyle w:val="Lienhypertexte"/>
            <w:rFonts w:ascii="Century Gothic" w:hAnsi="Century Gothic"/>
            <w:sz w:val="20"/>
          </w:rPr>
          <w:t>a.lorion@reunion.fr</w:t>
        </w:r>
      </w:hyperlink>
    </w:p>
    <w:bookmarkEnd w:id="2"/>
    <w:p w14:paraId="55CD1BB3" w14:textId="6A68B191" w:rsidR="00A83351" w:rsidRPr="00A41811" w:rsidRDefault="00A42AD1" w:rsidP="00A83351">
      <w:pPr>
        <w:pStyle w:val="Titre6"/>
        <w:pBdr>
          <w:bottom w:val="single" w:sz="4" w:space="1" w:color="auto"/>
        </w:pBdr>
        <w:spacing w:before="240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lastRenderedPageBreak/>
        <w:t>A</w:t>
      </w:r>
      <w:r w:rsidR="00A83351" w:rsidRPr="00A41811">
        <w:rPr>
          <w:rFonts w:ascii="Century Gothic" w:hAnsi="Century Gothic"/>
          <w:b/>
          <w:color w:val="auto"/>
          <w:sz w:val="24"/>
          <w:szCs w:val="24"/>
        </w:rPr>
        <w:t>RTIC</w:t>
      </w:r>
      <w:r w:rsidR="00A83351">
        <w:rPr>
          <w:rFonts w:ascii="Century Gothic" w:hAnsi="Century Gothic"/>
          <w:b/>
          <w:color w:val="auto"/>
          <w:sz w:val="24"/>
          <w:szCs w:val="24"/>
        </w:rPr>
        <w:t>LE 7</w:t>
      </w:r>
      <w:r w:rsidR="00A83351" w:rsidRPr="00A41811">
        <w:rPr>
          <w:rFonts w:ascii="Century Gothic" w:hAnsi="Century Gothic"/>
          <w:b/>
          <w:color w:val="auto"/>
          <w:sz w:val="24"/>
          <w:szCs w:val="24"/>
        </w:rPr>
        <w:t xml:space="preserve"> : Annexes</w:t>
      </w:r>
    </w:p>
    <w:p w14:paraId="38AC8442" w14:textId="77777777" w:rsidR="00A83351" w:rsidRPr="00702149" w:rsidRDefault="00A83351" w:rsidP="00A83351">
      <w:pPr>
        <w:spacing w:before="120" w:after="200"/>
        <w:jc w:val="both"/>
        <w:rPr>
          <w:rFonts w:ascii="Century Gothic" w:hAnsi="Century Gothic"/>
          <w:sz w:val="20"/>
        </w:rPr>
      </w:pPr>
      <w:r w:rsidRPr="00702149">
        <w:rPr>
          <w:rFonts w:ascii="Century Gothic" w:hAnsi="Century Gothic"/>
          <w:sz w:val="20"/>
        </w:rPr>
        <w:t>Le présent avis comporte les annexes suivantes :</w:t>
      </w:r>
    </w:p>
    <w:p w14:paraId="4D5AB6D6" w14:textId="77777777" w:rsidR="00A83351" w:rsidRPr="005B45EC" w:rsidRDefault="00A83351" w:rsidP="00A83351">
      <w:pPr>
        <w:pStyle w:val="Paragraphedeliste"/>
        <w:numPr>
          <w:ilvl w:val="0"/>
          <w:numId w:val="2"/>
        </w:num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Lettre</w:t>
      </w:r>
      <w:r w:rsidRPr="00702149">
        <w:rPr>
          <w:rFonts w:ascii="Century Gothic" w:hAnsi="Century Gothic"/>
          <w:sz w:val="20"/>
        </w:rPr>
        <w:t xml:space="preserve"> de manifestation </w:t>
      </w:r>
      <w:r w:rsidRPr="005B45EC">
        <w:rPr>
          <w:rFonts w:ascii="Century Gothic" w:hAnsi="Century Gothic"/>
          <w:sz w:val="20"/>
        </w:rPr>
        <w:t>d’intérêt (annexe 1),</w:t>
      </w:r>
    </w:p>
    <w:p w14:paraId="2C2507EF" w14:textId="77777777" w:rsidR="00A83351" w:rsidRPr="005B45EC" w:rsidRDefault="00A83351" w:rsidP="00A83351">
      <w:pPr>
        <w:pStyle w:val="Paragraphedeliste"/>
        <w:numPr>
          <w:ilvl w:val="0"/>
          <w:numId w:val="2"/>
        </w:num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Formulaire</w:t>
      </w:r>
      <w:r w:rsidRPr="005B45EC">
        <w:rPr>
          <w:rFonts w:ascii="Century Gothic" w:hAnsi="Century Gothic"/>
          <w:sz w:val="20"/>
        </w:rPr>
        <w:t xml:space="preserve"> déclaratif des ventes (annexe </w:t>
      </w:r>
      <w:r>
        <w:rPr>
          <w:rFonts w:ascii="Century Gothic" w:hAnsi="Century Gothic"/>
          <w:sz w:val="20"/>
        </w:rPr>
        <w:t>2),</w:t>
      </w:r>
    </w:p>
    <w:p w14:paraId="23AE2DA6" w14:textId="77777777" w:rsidR="00A83351" w:rsidRPr="005B45EC" w:rsidRDefault="00A83351" w:rsidP="00A83351">
      <w:pPr>
        <w:pStyle w:val="Paragraphedeliste"/>
        <w:numPr>
          <w:ilvl w:val="0"/>
          <w:numId w:val="2"/>
        </w:numPr>
        <w:spacing w:before="120" w:after="2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Tableau</w:t>
      </w:r>
      <w:r w:rsidRPr="005B45EC">
        <w:rPr>
          <w:rFonts w:ascii="Century Gothic" w:hAnsi="Century Gothic"/>
          <w:sz w:val="20"/>
        </w:rPr>
        <w:t xml:space="preserve"> des primes p</w:t>
      </w:r>
      <w:r>
        <w:rPr>
          <w:rFonts w:ascii="Century Gothic" w:hAnsi="Century Gothic"/>
          <w:sz w:val="20"/>
        </w:rPr>
        <w:t>our</w:t>
      </w:r>
      <w:r w:rsidRPr="005B45E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le </w:t>
      </w:r>
      <w:r w:rsidRPr="005B45EC">
        <w:rPr>
          <w:rFonts w:ascii="Century Gothic" w:hAnsi="Century Gothic"/>
          <w:sz w:val="20"/>
        </w:rPr>
        <w:t xml:space="preserve">marché </w:t>
      </w:r>
      <w:r>
        <w:rPr>
          <w:rFonts w:ascii="Century Gothic" w:hAnsi="Century Gothic"/>
          <w:sz w:val="20"/>
        </w:rPr>
        <w:t xml:space="preserve">OI Maurice </w:t>
      </w:r>
      <w:r w:rsidRPr="005B45EC">
        <w:rPr>
          <w:rFonts w:ascii="Century Gothic" w:hAnsi="Century Gothic"/>
          <w:sz w:val="20"/>
        </w:rPr>
        <w:t xml:space="preserve">pour les séjours Réunion </w:t>
      </w:r>
      <w:r>
        <w:rPr>
          <w:rFonts w:ascii="Century Gothic" w:hAnsi="Century Gothic"/>
          <w:sz w:val="20"/>
        </w:rPr>
        <w:t>(annexe 3</w:t>
      </w:r>
      <w:r w:rsidRPr="005B45EC">
        <w:rPr>
          <w:rFonts w:ascii="Century Gothic" w:hAnsi="Century Gothic"/>
          <w:sz w:val="20"/>
        </w:rPr>
        <w:t>).</w:t>
      </w:r>
    </w:p>
    <w:p w14:paraId="6C19FA44" w14:textId="77777777" w:rsidR="00A83351" w:rsidRPr="00473D12" w:rsidRDefault="00A83351" w:rsidP="00A83351">
      <w:pPr>
        <w:jc w:val="both"/>
        <w:rPr>
          <w:sz w:val="20"/>
        </w:rPr>
      </w:pPr>
    </w:p>
    <w:p w14:paraId="49B0A27D" w14:textId="77777777" w:rsidR="00A83351" w:rsidRDefault="00A83351"/>
    <w:sectPr w:rsidR="00A83351" w:rsidSect="00EB6813">
      <w:headerReference w:type="default" r:id="rId10"/>
      <w:footerReference w:type="default" r:id="rId11"/>
      <w:pgSz w:w="11900" w:h="16840"/>
      <w:pgMar w:top="2663" w:right="1417" w:bottom="20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1691" w14:textId="77777777" w:rsidR="00596556" w:rsidRDefault="00596556" w:rsidP="00EB6813">
      <w:r>
        <w:separator/>
      </w:r>
    </w:p>
  </w:endnote>
  <w:endnote w:type="continuationSeparator" w:id="0">
    <w:p w14:paraId="6156A19C" w14:textId="77777777" w:rsidR="00596556" w:rsidRDefault="00596556" w:rsidP="00E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F722" w14:textId="348741E5" w:rsidR="004A1D4D" w:rsidRDefault="004A1D4D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631CD" wp14:editId="0563FD06">
          <wp:simplePos x="0" y="0"/>
          <wp:positionH relativeFrom="margin">
            <wp:posOffset>-960755</wp:posOffset>
          </wp:positionH>
          <wp:positionV relativeFrom="paragraph">
            <wp:posOffset>-688340</wp:posOffset>
          </wp:positionV>
          <wp:extent cx="7658100" cy="13125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thomassin/Downloads/Dossier PAPIER ENTETE IRT/PAPIER ENTETE IRT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89"/>
                  <a:stretch/>
                </pic:blipFill>
                <pic:spPr bwMode="auto">
                  <a:xfrm>
                    <a:off x="0" y="0"/>
                    <a:ext cx="765810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6688" w14:textId="77777777" w:rsidR="00596556" w:rsidRDefault="00596556" w:rsidP="00EB6813">
      <w:r>
        <w:separator/>
      </w:r>
    </w:p>
  </w:footnote>
  <w:footnote w:type="continuationSeparator" w:id="0">
    <w:p w14:paraId="41853BB8" w14:textId="77777777" w:rsidR="00596556" w:rsidRDefault="00596556" w:rsidP="00EB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734F" w14:textId="350C50DF" w:rsidR="00EB6813" w:rsidRDefault="00EF1CE4" w:rsidP="004A1D4D">
    <w:pPr>
      <w:pStyle w:val="En-tte"/>
      <w:jc w:val="center"/>
    </w:pPr>
    <w:r>
      <w:rPr>
        <w:noProof/>
      </w:rPr>
      <w:drawing>
        <wp:inline distT="0" distB="0" distL="0" distR="0" wp14:anchorId="0B5EEB44" wp14:editId="43F7C196">
          <wp:extent cx="1892935" cy="1408210"/>
          <wp:effectExtent l="0" t="0" r="12065" b="0"/>
          <wp:docPr id="2" name="Image 2" descr="../LA%20REUNON%20-%20LOGOS/INTISTUTIONNEL%20-%20IRT/ILEDELAREUNIONTOURISME_VER_V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A%20REUNON%20-%20LOGOS/INTISTUTIONNEL%20-%20IRT/ILEDELAREUNIONTOURISME_VER_V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38" cy="141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6863"/>
    <w:multiLevelType w:val="hybridMultilevel"/>
    <w:tmpl w:val="E960CF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238E"/>
    <w:multiLevelType w:val="hybridMultilevel"/>
    <w:tmpl w:val="CA547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9FE"/>
    <w:multiLevelType w:val="hybridMultilevel"/>
    <w:tmpl w:val="7F2C1CC8"/>
    <w:lvl w:ilvl="0" w:tplc="9AE6DAD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4BC"/>
    <w:multiLevelType w:val="hybridMultilevel"/>
    <w:tmpl w:val="313C3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FA7"/>
    <w:multiLevelType w:val="hybridMultilevel"/>
    <w:tmpl w:val="479825F2"/>
    <w:lvl w:ilvl="0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F702092"/>
    <w:multiLevelType w:val="hybridMultilevel"/>
    <w:tmpl w:val="7526C9A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8222454"/>
    <w:multiLevelType w:val="hybridMultilevel"/>
    <w:tmpl w:val="1DC6A184"/>
    <w:lvl w:ilvl="0" w:tplc="1C321CA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AD2391"/>
    <w:multiLevelType w:val="hybridMultilevel"/>
    <w:tmpl w:val="5CD23B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F3"/>
    <w:rsid w:val="00154878"/>
    <w:rsid w:val="001732F3"/>
    <w:rsid w:val="001C0B13"/>
    <w:rsid w:val="002047D4"/>
    <w:rsid w:val="00213CA9"/>
    <w:rsid w:val="00307344"/>
    <w:rsid w:val="003F24A7"/>
    <w:rsid w:val="004239AE"/>
    <w:rsid w:val="00461487"/>
    <w:rsid w:val="00465941"/>
    <w:rsid w:val="004A1D4D"/>
    <w:rsid w:val="00596556"/>
    <w:rsid w:val="00596846"/>
    <w:rsid w:val="0061097B"/>
    <w:rsid w:val="00625372"/>
    <w:rsid w:val="006A1EDA"/>
    <w:rsid w:val="007F01A4"/>
    <w:rsid w:val="00905A06"/>
    <w:rsid w:val="00943D9F"/>
    <w:rsid w:val="0096496E"/>
    <w:rsid w:val="009F408D"/>
    <w:rsid w:val="00A42AD1"/>
    <w:rsid w:val="00A6640B"/>
    <w:rsid w:val="00A83351"/>
    <w:rsid w:val="00A860AB"/>
    <w:rsid w:val="00B300CE"/>
    <w:rsid w:val="00B30534"/>
    <w:rsid w:val="00BD1758"/>
    <w:rsid w:val="00BF20AF"/>
    <w:rsid w:val="00C445FA"/>
    <w:rsid w:val="00D02301"/>
    <w:rsid w:val="00D83748"/>
    <w:rsid w:val="00DF3E09"/>
    <w:rsid w:val="00EB6813"/>
    <w:rsid w:val="00E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4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51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83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81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B6813"/>
  </w:style>
  <w:style w:type="paragraph" w:styleId="Pieddepage">
    <w:name w:val="footer"/>
    <w:basedOn w:val="Normal"/>
    <w:link w:val="PieddepageCar"/>
    <w:uiPriority w:val="99"/>
    <w:unhideWhenUsed/>
    <w:rsid w:val="00EB681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813"/>
  </w:style>
  <w:style w:type="character" w:customStyle="1" w:styleId="Titre6Car">
    <w:name w:val="Titre 6 Car"/>
    <w:basedOn w:val="Policepardfaut"/>
    <w:link w:val="Titre6"/>
    <w:uiPriority w:val="9"/>
    <w:rsid w:val="00A83351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A83351"/>
    <w:pPr>
      <w:jc w:val="center"/>
    </w:pPr>
    <w:rPr>
      <w:b/>
      <w:sz w:val="26"/>
    </w:rPr>
  </w:style>
  <w:style w:type="character" w:customStyle="1" w:styleId="TitreCar">
    <w:name w:val="Titre Car"/>
    <w:basedOn w:val="Policepardfaut"/>
    <w:link w:val="Titre"/>
    <w:uiPriority w:val="99"/>
    <w:rsid w:val="00A83351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styleId="Lienhypertexte">
    <w:name w:val="Hyperlink"/>
    <w:uiPriority w:val="99"/>
    <w:rsid w:val="00A83351"/>
    <w:rPr>
      <w:color w:val="0000FF"/>
      <w:u w:val="single"/>
    </w:rPr>
  </w:style>
  <w:style w:type="paragraph" w:customStyle="1" w:styleId="Grillemoyenne21">
    <w:name w:val="Grille moyenne 21"/>
    <w:link w:val="Grillemoyenne2Car"/>
    <w:uiPriority w:val="99"/>
    <w:qFormat/>
    <w:rsid w:val="00A83351"/>
    <w:rPr>
      <w:rFonts w:ascii="Calibri" w:eastAsia="Times New Roman" w:hAnsi="Calibri" w:cs="Times New Roman"/>
      <w:sz w:val="22"/>
      <w:szCs w:val="22"/>
    </w:rPr>
  </w:style>
  <w:style w:type="character" w:customStyle="1" w:styleId="Grillemoyenne2Car">
    <w:name w:val="Grille moyenne 2 Car"/>
    <w:link w:val="Grillemoyenne21"/>
    <w:uiPriority w:val="99"/>
    <w:locked/>
    <w:rsid w:val="00A83351"/>
    <w:rPr>
      <w:rFonts w:ascii="Calibri" w:eastAsia="Times New Roman" w:hAnsi="Calibri" w:cs="Times New Roman"/>
      <w:sz w:val="22"/>
      <w:szCs w:val="22"/>
    </w:rPr>
  </w:style>
  <w:style w:type="paragraph" w:customStyle="1" w:styleId="Sansinterligne1">
    <w:name w:val="Sans interligne1"/>
    <w:link w:val="NoSpacingChar"/>
    <w:rsid w:val="00A83351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Sansinterligne1"/>
    <w:locked/>
    <w:rsid w:val="00A83351"/>
    <w:rPr>
      <w:rFonts w:ascii="Calibri" w:eastAsia="Times New Roman" w:hAnsi="Calibri" w:cs="Times New Roman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A8335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83351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customStyle="1" w:styleId="Default">
    <w:name w:val="Default"/>
    <w:rsid w:val="00A833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13CA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C445F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5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5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lliac@reunion.fr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ulliac@reunion.fr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lorion@reunio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 thomassin</dc:creator>
  <cp:keywords/>
  <dc:description/>
  <cp:lastModifiedBy>Aurore  LORION</cp:lastModifiedBy>
  <cp:revision>5</cp:revision>
  <cp:lastPrinted>2019-02-04T07:08:00Z</cp:lastPrinted>
  <dcterms:created xsi:type="dcterms:W3CDTF">2019-01-24T10:11:00Z</dcterms:created>
  <dcterms:modified xsi:type="dcterms:W3CDTF">2019-03-22T12:21:00Z</dcterms:modified>
</cp:coreProperties>
</file>